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2A24" w14:textId="77777777" w:rsidR="00276447" w:rsidRDefault="00276447" w:rsidP="00276447">
      <w:pPr>
        <w:pStyle w:val="Heading1"/>
        <w:rPr>
          <w:lang w:bidi="cy-GB"/>
        </w:rPr>
      </w:pPr>
      <w:bookmarkStart w:id="0" w:name="cysill"/>
      <w:bookmarkEnd w:id="0"/>
      <w:r>
        <w:rPr>
          <w:lang w:bidi="cy-GB"/>
        </w:rPr>
        <w:t>Polisi Derbyniadau Gradd-Brentisiaeth</w:t>
      </w:r>
    </w:p>
    <w:p w14:paraId="73E439DF" w14:textId="77777777" w:rsidR="00276447" w:rsidRDefault="00276447" w:rsidP="00276447">
      <w:pPr>
        <w:rPr>
          <w:lang w:bidi="cy-GB"/>
        </w:rPr>
      </w:pPr>
    </w:p>
    <w:p w14:paraId="6BE88FC0" w14:textId="240BCDD5" w:rsidR="00276447" w:rsidRDefault="00276447" w:rsidP="00276447">
      <w:pPr>
        <w:pStyle w:val="Heading2"/>
        <w:rPr>
          <w:lang w:bidi="cy-GB"/>
        </w:rPr>
      </w:pPr>
      <w:r>
        <w:rPr>
          <w:lang w:bidi="cy-GB"/>
        </w:rPr>
        <w:t>B</w:t>
      </w:r>
      <w:r>
        <w:rPr>
          <w:lang w:bidi="cy-GB"/>
        </w:rPr>
        <w:t>eth yw Gradd-Brentisiaeth</w:t>
      </w:r>
    </w:p>
    <w:p w14:paraId="53DFAF6F" w14:textId="77777777" w:rsidR="00276447" w:rsidRDefault="00276447" w:rsidP="00276447">
      <w:pPr>
        <w:rPr>
          <w:lang w:bidi="cy-GB"/>
        </w:rPr>
      </w:pPr>
      <w:r>
        <w:rPr>
          <w:lang w:bidi="cy-GB"/>
        </w:rPr>
        <w:t>Mae Gradd-Brentisiaeth yn ddewis arall yn lle astudiaeth brifysgol draddodiadol sy’n cyfuno elfen seiliedig ar waith prentisiaeth â chymhwyster academaidd Addysg Uwch.</w:t>
      </w:r>
    </w:p>
    <w:p w14:paraId="475A2ABD" w14:textId="77777777" w:rsidR="00276447" w:rsidRDefault="00276447" w:rsidP="00276447">
      <w:pPr>
        <w:rPr>
          <w:lang w:bidi="cy-GB"/>
        </w:rPr>
      </w:pPr>
      <w:r>
        <w:rPr>
          <w:lang w:bidi="cy-GB"/>
        </w:rPr>
        <w:t>Mae Gradd-Brentisiaethau yn gweithio’n wahanol ar hyd gwahanol ranbarthau’r DU ac mae prentisiaeth gradd a gymerir ym Mhrifysgol Metropolitan Caerdydd yn rhoi’r cyfle i astudio gyda’r Brifysgol am 1 diwrnod yr wythnos wrth weithio i’r cyflogwr am y 4 diwrnod sy’n weddill, a hynny i gyd wrth ennill profiad yn y byd go iawn ac ennill y cymhwyster academaidd.</w:t>
      </w:r>
    </w:p>
    <w:p w14:paraId="69266056" w14:textId="1F761306" w:rsidR="00276447" w:rsidRDefault="00276447" w:rsidP="00276447">
      <w:pPr>
        <w:rPr>
          <w:lang w:bidi="cy-GB"/>
        </w:rPr>
      </w:pPr>
      <w:r>
        <w:rPr>
          <w:lang w:bidi="cy-GB"/>
        </w:rPr>
        <w:t xml:space="preserve">Gall cyflogwyr yng Nghymru gynnig amrywiaeth o </w:t>
      </w:r>
      <w:r>
        <w:rPr>
          <w:lang w:bidi="cy-GB"/>
        </w:rPr>
        <w:t>g</w:t>
      </w:r>
      <w:r>
        <w:rPr>
          <w:lang w:bidi="cy-GB"/>
        </w:rPr>
        <w:t>radd-</w:t>
      </w:r>
      <w:r>
        <w:rPr>
          <w:lang w:bidi="cy-GB"/>
        </w:rPr>
        <w:t>b</w:t>
      </w:r>
      <w:r>
        <w:rPr>
          <w:lang w:bidi="cy-GB"/>
        </w:rPr>
        <w:t>rentisiaethau mewn partneriaeth â phrifysgol yng Nghymru. Mae’r cyflogwr yn talu’r cyflog ac mae Medr yn ariannu’r cymhwyster prentisiaeth.</w:t>
      </w:r>
    </w:p>
    <w:p w14:paraId="03377FCC" w14:textId="77777777" w:rsidR="00276447" w:rsidRDefault="00276447" w:rsidP="00276447">
      <w:pPr>
        <w:rPr>
          <w:lang w:bidi="cy-GB"/>
        </w:rPr>
      </w:pPr>
    </w:p>
    <w:p w14:paraId="004AAE9E" w14:textId="0FC49291" w:rsidR="00276447" w:rsidRDefault="00276447" w:rsidP="00276447">
      <w:pPr>
        <w:pStyle w:val="Heading2"/>
        <w:rPr>
          <w:lang w:bidi="cy-GB"/>
        </w:rPr>
      </w:pPr>
      <w:r>
        <w:rPr>
          <w:lang w:bidi="cy-GB"/>
        </w:rPr>
        <w:t>Gwneud Cais am Radd-Brentisiaeth</w:t>
      </w:r>
    </w:p>
    <w:p w14:paraId="4C19A20A" w14:textId="7076A756" w:rsidR="00276447" w:rsidRDefault="00276447" w:rsidP="00276447">
      <w:pPr>
        <w:rPr>
          <w:lang w:bidi="cy-GB"/>
        </w:rPr>
      </w:pPr>
      <w:r>
        <w:rPr>
          <w:lang w:bidi="cy-GB"/>
        </w:rPr>
        <w:t xml:space="preserve">Gwneir ceisiadau am Brentisiaethau yn uniongyrchol i’r </w:t>
      </w:r>
      <w:r>
        <w:rPr>
          <w:lang w:bidi="cy-GB"/>
        </w:rPr>
        <w:t>B</w:t>
      </w:r>
      <w:r>
        <w:rPr>
          <w:lang w:bidi="cy-GB"/>
        </w:rPr>
        <w:t>rifysgol drwy’r system Hunanwasanaeth.</w:t>
      </w:r>
    </w:p>
    <w:p w14:paraId="0E6A2DC8" w14:textId="77777777" w:rsidR="00276447" w:rsidRDefault="00276447" w:rsidP="00276447">
      <w:pPr>
        <w:rPr>
          <w:lang w:bidi="cy-GB"/>
        </w:rPr>
      </w:pPr>
      <w:r>
        <w:rPr>
          <w:lang w:bidi="cy-GB"/>
        </w:rPr>
        <w:t>Mae swyddi gwag Gradd-Brentisiaethau yn cael eu hysbysebu a’u rheoli gan gyflogwyr, gyda’r Brifysgol yn gweithio gydag amrywiaeth o bartneriaid cyflogwyr ledled Cymru.</w:t>
      </w:r>
    </w:p>
    <w:p w14:paraId="1A6B12D9" w14:textId="77777777" w:rsidR="00276447" w:rsidRDefault="00276447" w:rsidP="00276447">
      <w:pPr>
        <w:rPr>
          <w:lang w:bidi="cy-GB"/>
        </w:rPr>
      </w:pPr>
      <w:r>
        <w:rPr>
          <w:lang w:bidi="cy-GB"/>
        </w:rPr>
        <w:t>Mae Gradd-Brentisiaethau yn cael eu hariannu’n llawn gan Lywodraeth Cymru ac i fod yn gymwys rhaid i ymgeiswyr fod wedi’u cyflogi yng Nghymru am o leiaf 51% o’u hamser a bod dros 16 mlwydd oed. Rhaid i ymgeiswyr hefyd fod mewn rôl swydd sy’n berthnasol i’r fframwaith prentisiaeth y maent yn gwneud cais amdano.</w:t>
      </w:r>
    </w:p>
    <w:p w14:paraId="6AE2DD75" w14:textId="77777777" w:rsidR="006D317E" w:rsidRDefault="006D317E" w:rsidP="00276447">
      <w:pPr>
        <w:rPr>
          <w:lang w:bidi="cy-GB"/>
        </w:rPr>
      </w:pPr>
    </w:p>
    <w:p w14:paraId="18BEC35C" w14:textId="5DBB0605" w:rsidR="00276447" w:rsidRDefault="00276447" w:rsidP="006D317E">
      <w:pPr>
        <w:pStyle w:val="Heading2"/>
        <w:rPr>
          <w:lang w:bidi="cy-GB"/>
        </w:rPr>
      </w:pPr>
      <w:r>
        <w:rPr>
          <w:lang w:bidi="cy-GB"/>
        </w:rPr>
        <w:t>Cylch Derbyn, Penderfyniadau a Derbyniadau</w:t>
      </w:r>
    </w:p>
    <w:p w14:paraId="6959608F" w14:textId="77777777" w:rsidR="00276447" w:rsidRDefault="00276447" w:rsidP="00276447">
      <w:pPr>
        <w:rPr>
          <w:lang w:bidi="cy-GB"/>
        </w:rPr>
      </w:pPr>
      <w:r>
        <w:rPr>
          <w:lang w:bidi="cy-GB"/>
        </w:rPr>
        <w:t xml:space="preserve">Mae’r Cylch Derbyn ar gyfer gradd-brentisiaethau yn digwydd </w:t>
      </w:r>
      <w:r w:rsidRPr="006D317E">
        <w:rPr>
          <w:b/>
          <w:bCs/>
          <w:lang w:bidi="cy-GB"/>
        </w:rPr>
        <w:t>o fis Mai i fis Medi</w:t>
      </w:r>
      <w:r>
        <w:rPr>
          <w:lang w:bidi="cy-GB"/>
        </w:rPr>
        <w:t xml:space="preserve"> ac mae’n cynnwys y canlynol:</w:t>
      </w:r>
    </w:p>
    <w:p w14:paraId="24DA3A5F" w14:textId="77777777" w:rsidR="00276447" w:rsidRDefault="00276447" w:rsidP="00276447">
      <w:pPr>
        <w:rPr>
          <w:lang w:bidi="cy-GB"/>
        </w:rPr>
      </w:pPr>
      <w:r>
        <w:rPr>
          <w:lang w:bidi="cy-GB"/>
        </w:rPr>
        <w:t>Cais – Derbynnir ceisiadau, adolygir hwy a’u hanfon i’r Ysgol Academaidd i’w hystyried. Caiff penderfyniadau eu prosesu gan staff Derbyniadau, gyda phob cam o’r broses dderbyniadau yn cael ei gofnodi ar y system dderbyniadau a myfyrwyr electronig.</w:t>
      </w:r>
    </w:p>
    <w:p w14:paraId="62FE21FB" w14:textId="77777777" w:rsidR="00276447" w:rsidRDefault="00276447" w:rsidP="00276447">
      <w:pPr>
        <w:rPr>
          <w:lang w:bidi="cy-GB"/>
        </w:rPr>
      </w:pPr>
      <w:r>
        <w:rPr>
          <w:lang w:bidi="cy-GB"/>
        </w:rPr>
        <w:t>Cynigion – Bydd staff derbyniadau yn prosesu Cynnig Amodol neu Ddiamod. Gwneir Cynigion Diamod i’r ymgeiswyr hynny sydd wedi cyflawni’r meini prawf mynediad drwy ennill cymwysterau a dangos tystiolaeth o brofiad gwaith. Gwneir Cynigion Amodol i’r ymgeiswyr hynny a allai fod yn ymgymryd â chymwysterau neu brofiad gwaith y mae angen eu cwblhau.</w:t>
      </w:r>
    </w:p>
    <w:p w14:paraId="4A6A815C" w14:textId="72BA6A2D" w:rsidR="00276447" w:rsidRDefault="00276447" w:rsidP="00276447">
      <w:pPr>
        <w:rPr>
          <w:lang w:bidi="cy-GB"/>
        </w:rPr>
      </w:pPr>
      <w:r>
        <w:rPr>
          <w:lang w:bidi="cy-GB"/>
        </w:rPr>
        <w:t xml:space="preserve">Derbyn – Gall ymgeiswyr dderbyn eu cynnig ar y system </w:t>
      </w:r>
      <w:r w:rsidR="006D317E">
        <w:rPr>
          <w:lang w:bidi="cy-GB"/>
        </w:rPr>
        <w:t>H</w:t>
      </w:r>
      <w:r>
        <w:rPr>
          <w:lang w:bidi="cy-GB"/>
        </w:rPr>
        <w:t>unanwasanaeth.</w:t>
      </w:r>
    </w:p>
    <w:p w14:paraId="72F184D4" w14:textId="77777777" w:rsidR="00276447" w:rsidRDefault="00276447" w:rsidP="00276447">
      <w:pPr>
        <w:rPr>
          <w:lang w:bidi="cy-GB"/>
        </w:rPr>
      </w:pPr>
      <w:r>
        <w:rPr>
          <w:lang w:bidi="cy-GB"/>
        </w:rPr>
        <w:t xml:space="preserve">Anfonir gwybodaeth at bob ymgeisydd sy’n cael cynnig lle ac sy’n derbyn yn gadarn, gyda’r nod o’u cefnogi a’u tywys drwy’r Cylch Derbyn. Bydd hyn yn cynnwys telerau ac amodau’r Brifysgol, </w:t>
      </w:r>
      <w:r>
        <w:rPr>
          <w:lang w:bidi="cy-GB"/>
        </w:rPr>
        <w:lastRenderedPageBreak/>
        <w:t>polisi ffioedd, polisi derbyniadau, polisi cwynion a Llawlyfr Myfyrwyr, yn ogystal â gwybodaeth am gofrestru, dechrau yn y Brifysgol a gweithgareddau pontio.</w:t>
      </w:r>
    </w:p>
    <w:p w14:paraId="2A607020" w14:textId="77777777" w:rsidR="006D317E" w:rsidRDefault="006D317E" w:rsidP="00276447">
      <w:pPr>
        <w:rPr>
          <w:lang w:bidi="cy-GB"/>
        </w:rPr>
      </w:pPr>
    </w:p>
    <w:p w14:paraId="3681B420" w14:textId="74884232" w:rsidR="00276447" w:rsidRDefault="00276447" w:rsidP="006D317E">
      <w:pPr>
        <w:pStyle w:val="Heading2"/>
        <w:rPr>
          <w:lang w:bidi="cy-GB"/>
        </w:rPr>
      </w:pPr>
      <w:r>
        <w:rPr>
          <w:lang w:bidi="cy-GB"/>
        </w:rPr>
        <w:t>Meini Prawf Derbyn</w:t>
      </w:r>
    </w:p>
    <w:p w14:paraId="28E7F3E3" w14:textId="77777777" w:rsidR="00276447" w:rsidRDefault="00276447" w:rsidP="00276447">
      <w:pPr>
        <w:rPr>
          <w:lang w:bidi="cy-GB"/>
        </w:rPr>
      </w:pPr>
      <w:r>
        <w:rPr>
          <w:lang w:bidi="cy-GB"/>
        </w:rPr>
        <w:t>Rhaid i ymgeiswyr Gradd-Brentisiaeth fodloni’r meini prawf cymhwysedd a fydd yn cael eu llunio mewn partneriaeth rhwng y Brifysgol a’r Cyflogwr i sicrhau bod ymgeiswyr yn bodloni’r gofynion mynediad academaidd safonol yn ogystal â’r gofynion mynediad proffesiynol.</w:t>
      </w:r>
    </w:p>
    <w:p w14:paraId="65841125" w14:textId="77777777" w:rsidR="00276447" w:rsidRDefault="00276447" w:rsidP="00276447">
      <w:pPr>
        <w:rPr>
          <w:lang w:bidi="cy-GB"/>
        </w:rPr>
      </w:pPr>
      <w:r>
        <w:rPr>
          <w:lang w:bidi="cy-GB"/>
        </w:rPr>
        <w:t>Penderfynir hyn gan yr Arweinydd Gradd-Brentisiaeth, cyswllt diwydiant o fewn tîm y rhaglen a chynrychiolydd cyflogwyr cyn i raglenni agor ar gyfer ceisiadau.</w:t>
      </w:r>
    </w:p>
    <w:p w14:paraId="1692B5CD" w14:textId="77777777" w:rsidR="00276447" w:rsidRDefault="00276447" w:rsidP="00276447">
      <w:pPr>
        <w:rPr>
          <w:lang w:bidi="cy-GB"/>
        </w:rPr>
      </w:pPr>
      <w:r>
        <w:rPr>
          <w:lang w:bidi="cy-GB"/>
        </w:rPr>
        <w:t>Fel arfer, mae angen i ymgeiswyr fodloni’r gofynion mynediad sy’n cyfateb i’r rhai ar gyfer rhaglenni gradd safonol a gynigir ym Met Caerdydd. Cyhoeddir gofynion mynediad penodol yn adran gofynion mynediad pob tudalen cwrs.</w:t>
      </w:r>
    </w:p>
    <w:p w14:paraId="15552888" w14:textId="77777777" w:rsidR="00276447" w:rsidRDefault="00276447" w:rsidP="00276447">
      <w:pPr>
        <w:rPr>
          <w:lang w:bidi="cy-GB"/>
        </w:rPr>
      </w:pPr>
      <w:r>
        <w:rPr>
          <w:lang w:bidi="cy-GB"/>
        </w:rPr>
        <w:t>Gellir ystyried ymgeiswyr ar sail cyfuniad o gymwysterau academaidd neu broffesiynol yn ogystal â phrofiad gwaith perthnasol, sy’n cyfateb i’r gofynion mynediad cyhoeddedig. Gofynnir i ymgeiswyr sy’n dymuno cael eu hystyried ar sail profiad gwaith ddarparu gwybodaeth fanwl, ynghyd â gwybodaeth ategol gan eu cyflogwr.</w:t>
      </w:r>
    </w:p>
    <w:p w14:paraId="7F009F93" w14:textId="77777777" w:rsidR="00276447" w:rsidRDefault="00276447" w:rsidP="00276447">
      <w:pPr>
        <w:rPr>
          <w:lang w:bidi="cy-GB"/>
        </w:rPr>
      </w:pPr>
      <w:r>
        <w:rPr>
          <w:lang w:bidi="cy-GB"/>
        </w:rPr>
        <w:t>Mae pob prentis yn ymrwymo i gytundeb dysgu tair ffordd ar ôl cael eu derbyn i’r rhaglen.</w:t>
      </w:r>
    </w:p>
    <w:p w14:paraId="0818B6B5" w14:textId="77777777" w:rsidR="006D317E" w:rsidRDefault="006D317E" w:rsidP="00276447">
      <w:pPr>
        <w:rPr>
          <w:lang w:bidi="cy-GB"/>
        </w:rPr>
      </w:pPr>
    </w:p>
    <w:p w14:paraId="55F6D71E" w14:textId="105781BC" w:rsidR="00276447" w:rsidRDefault="00276447" w:rsidP="006D317E">
      <w:pPr>
        <w:pStyle w:val="Heading2"/>
        <w:rPr>
          <w:lang w:bidi="cy-GB"/>
        </w:rPr>
      </w:pPr>
      <w:r>
        <w:rPr>
          <w:lang w:bidi="cy-GB"/>
        </w:rPr>
        <w:t>Gofynion Mynediad</w:t>
      </w:r>
    </w:p>
    <w:p w14:paraId="79A77888" w14:textId="77777777" w:rsidR="00276447" w:rsidRDefault="00276447" w:rsidP="00276447">
      <w:pPr>
        <w:rPr>
          <w:lang w:bidi="cy-GB"/>
        </w:rPr>
      </w:pPr>
      <w:r>
        <w:rPr>
          <w:lang w:bidi="cy-GB"/>
        </w:rPr>
        <w:t>Cyhoeddir gofynion mynediad ar gyfer pob cwrs ar wefan Prifysgol Metropolitan Caerdydd.</w:t>
      </w:r>
    </w:p>
    <w:p w14:paraId="28C7E30F" w14:textId="77777777" w:rsidR="00276447" w:rsidRDefault="00276447" w:rsidP="00276447">
      <w:pPr>
        <w:rPr>
          <w:lang w:bidi="cy-GB"/>
        </w:rPr>
      </w:pPr>
      <w:r>
        <w:rPr>
          <w:lang w:bidi="cy-GB"/>
        </w:rPr>
        <w:t>Mae staff y Brifysgol sy’n ymwneud â’r broses dderbyn yn dilyn y meini prawf mynediad a’r weithdrefn ar gyfer dethol yn gyson ac yn broffesiynol. Fodd bynnag, ystyrir ceisiadau ar sail unigol gan ystyried yr holl wybodaeth sydd ar gael i sicrhau bod amgylchiadau unigol yn cael eu hystyried, a gall cynigion amrywio gan ystyried ystod o brofiadau ac arbenigedd.</w:t>
      </w:r>
    </w:p>
    <w:p w14:paraId="175E6E6C" w14:textId="776BB4CA" w:rsidR="00276447" w:rsidRDefault="00276447" w:rsidP="00276447">
      <w:pPr>
        <w:rPr>
          <w:lang w:bidi="cy-GB"/>
        </w:rPr>
      </w:pPr>
      <w:r>
        <w:rPr>
          <w:lang w:bidi="cy-GB"/>
        </w:rPr>
        <w:t xml:space="preserve">Gall astudiaethau blaenorol, profiad gwaith a hyfforddiant hefyd gyfrif fel credyd tuag at eich rhaglen astudio, a elwir yn </w:t>
      </w:r>
      <w:r w:rsidR="006D317E" w:rsidRPr="006D317E">
        <w:rPr>
          <w:lang w:bidi="cy-GB"/>
        </w:rPr>
        <w:t>Cydnabod Dysgu Blaenorol</w:t>
      </w:r>
      <w:r>
        <w:rPr>
          <w:lang w:bidi="cy-GB"/>
        </w:rPr>
        <w:t>, cyfeiriwch at yr adran ar Ddysgu Blaenorol.</w:t>
      </w:r>
    </w:p>
    <w:p w14:paraId="1CBEF303" w14:textId="77777777" w:rsidR="00276447" w:rsidRDefault="00276447" w:rsidP="00276447">
      <w:pPr>
        <w:rPr>
          <w:lang w:bidi="cy-GB"/>
        </w:rPr>
      </w:pPr>
      <w:r>
        <w:rPr>
          <w:lang w:bidi="cy-GB"/>
        </w:rPr>
        <w:t>Rydym yn annog myfyrwyr o bob oed ac o bob cefndir i’w hastudio ac yn gwybod y gellir cael cyflawniad sylweddol drwy waith neu astudiaeth breifat.</w:t>
      </w:r>
    </w:p>
    <w:p w14:paraId="647D8265" w14:textId="77777777" w:rsidR="00276447" w:rsidRDefault="00276447" w:rsidP="00276447">
      <w:pPr>
        <w:rPr>
          <w:lang w:bidi="cy-GB"/>
        </w:rPr>
      </w:pPr>
      <w:r>
        <w:rPr>
          <w:lang w:bidi="cy-GB"/>
        </w:rPr>
        <w:t>Mae’r Brifysgol yn gwarantu na fydd yn newid y gofynion mynediad a gyhoeddir ar dudalennau cwrs ar wefan Met Caerdydd ar gyfer cyrsiau Prentisiaeth yn ystod cylch Derbyn.</w:t>
      </w:r>
    </w:p>
    <w:p w14:paraId="75913F12" w14:textId="77777777" w:rsidR="006D317E" w:rsidRDefault="006D317E" w:rsidP="00276447">
      <w:pPr>
        <w:rPr>
          <w:lang w:bidi="cy-GB"/>
        </w:rPr>
      </w:pPr>
    </w:p>
    <w:p w14:paraId="3E004165" w14:textId="7A038EFB" w:rsidR="00276447" w:rsidRDefault="00276447" w:rsidP="006D317E">
      <w:pPr>
        <w:pStyle w:val="Heading2"/>
        <w:rPr>
          <w:lang w:bidi="cy-GB"/>
        </w:rPr>
      </w:pPr>
      <w:r>
        <w:rPr>
          <w:lang w:bidi="cy-GB"/>
        </w:rPr>
        <w:t>Dewis</w:t>
      </w:r>
    </w:p>
    <w:p w14:paraId="2AD99E54" w14:textId="77777777" w:rsidR="00276447" w:rsidRDefault="00276447" w:rsidP="00276447">
      <w:pPr>
        <w:rPr>
          <w:lang w:bidi="cy-GB"/>
        </w:rPr>
      </w:pPr>
      <w:r>
        <w:rPr>
          <w:lang w:bidi="cy-GB"/>
        </w:rPr>
        <w:t>Ystyrir pob cais ar sail unigol, yn seiliedig ar y wybodaeth a ddarperir fel rhan o’r ffurflen gais a fydd angen iddi gynnwys:</w:t>
      </w:r>
    </w:p>
    <w:p w14:paraId="799BBFCC" w14:textId="77777777" w:rsidR="00276447" w:rsidRDefault="00276447" w:rsidP="006D317E">
      <w:pPr>
        <w:pStyle w:val="ListParagraph"/>
        <w:numPr>
          <w:ilvl w:val="0"/>
          <w:numId w:val="4"/>
        </w:numPr>
        <w:rPr>
          <w:lang w:bidi="cy-GB"/>
        </w:rPr>
      </w:pPr>
      <w:r>
        <w:rPr>
          <w:lang w:bidi="cy-GB"/>
        </w:rPr>
        <w:t>Prawf o gymwysterau neu gymwysterau sy’n cael eu cyflawni ar gyfer mynediad a restrir ar dudalennau’r cwrs</w:t>
      </w:r>
    </w:p>
    <w:p w14:paraId="6719F9A8" w14:textId="77777777" w:rsidR="00276447" w:rsidRDefault="00276447" w:rsidP="006D317E">
      <w:pPr>
        <w:pStyle w:val="ListParagraph"/>
        <w:numPr>
          <w:ilvl w:val="0"/>
          <w:numId w:val="4"/>
        </w:numPr>
        <w:rPr>
          <w:lang w:bidi="cy-GB"/>
        </w:rPr>
      </w:pPr>
      <w:r>
        <w:rPr>
          <w:lang w:bidi="cy-GB"/>
        </w:rPr>
        <w:lastRenderedPageBreak/>
        <w:t>Disgrifiad Swydd</w:t>
      </w:r>
    </w:p>
    <w:p w14:paraId="6A8B884E" w14:textId="77777777" w:rsidR="00276447" w:rsidRDefault="00276447" w:rsidP="006D317E">
      <w:pPr>
        <w:pStyle w:val="ListParagraph"/>
        <w:numPr>
          <w:ilvl w:val="0"/>
          <w:numId w:val="4"/>
        </w:numPr>
        <w:rPr>
          <w:lang w:bidi="cy-GB"/>
        </w:rPr>
      </w:pPr>
      <w:r>
        <w:rPr>
          <w:lang w:bidi="cy-GB"/>
        </w:rPr>
        <w:t>CV</w:t>
      </w:r>
    </w:p>
    <w:p w14:paraId="05F91638" w14:textId="77777777" w:rsidR="00276447" w:rsidRDefault="00276447" w:rsidP="006D317E">
      <w:pPr>
        <w:pStyle w:val="ListParagraph"/>
        <w:numPr>
          <w:ilvl w:val="0"/>
          <w:numId w:val="4"/>
        </w:numPr>
        <w:rPr>
          <w:lang w:bidi="cy-GB"/>
        </w:rPr>
      </w:pPr>
      <w:r>
        <w:rPr>
          <w:lang w:bidi="cy-GB"/>
        </w:rPr>
        <w:t>Cyfeirnod</w:t>
      </w:r>
    </w:p>
    <w:p w14:paraId="3FD61BD0" w14:textId="77777777" w:rsidR="00276447" w:rsidRDefault="00276447" w:rsidP="006D317E">
      <w:pPr>
        <w:pStyle w:val="ListParagraph"/>
        <w:numPr>
          <w:ilvl w:val="0"/>
          <w:numId w:val="4"/>
        </w:numPr>
        <w:rPr>
          <w:lang w:bidi="cy-GB"/>
        </w:rPr>
      </w:pPr>
      <w:r>
        <w:rPr>
          <w:lang w:bidi="cy-GB"/>
        </w:rPr>
        <w:t xml:space="preserve">Datganiad Personol </w:t>
      </w:r>
    </w:p>
    <w:p w14:paraId="13F5E09E" w14:textId="77777777" w:rsidR="00276447" w:rsidRDefault="00276447" w:rsidP="006D317E">
      <w:pPr>
        <w:pStyle w:val="ListParagraph"/>
        <w:numPr>
          <w:ilvl w:val="0"/>
          <w:numId w:val="4"/>
        </w:numPr>
        <w:rPr>
          <w:lang w:bidi="cy-GB"/>
        </w:rPr>
      </w:pPr>
      <w:r>
        <w:rPr>
          <w:lang w:bidi="cy-GB"/>
        </w:rPr>
        <w:t>Unrhyw Gydnabyddiaeth o Ddysgu Blaenorol</w:t>
      </w:r>
    </w:p>
    <w:p w14:paraId="5AB6D002" w14:textId="77777777" w:rsidR="00276447" w:rsidRDefault="00276447" w:rsidP="006D317E">
      <w:pPr>
        <w:pStyle w:val="ListParagraph"/>
        <w:numPr>
          <w:ilvl w:val="0"/>
          <w:numId w:val="4"/>
        </w:numPr>
        <w:rPr>
          <w:lang w:bidi="cy-GB"/>
        </w:rPr>
      </w:pPr>
      <w:r>
        <w:rPr>
          <w:lang w:bidi="cy-GB"/>
        </w:rPr>
        <w:t>Atebolrwydd Cyflogwr</w:t>
      </w:r>
    </w:p>
    <w:p w14:paraId="3256C8ED" w14:textId="77777777" w:rsidR="00276447" w:rsidRDefault="00276447" w:rsidP="006D317E">
      <w:pPr>
        <w:pStyle w:val="ListParagraph"/>
        <w:numPr>
          <w:ilvl w:val="0"/>
          <w:numId w:val="4"/>
        </w:numPr>
        <w:rPr>
          <w:lang w:bidi="cy-GB"/>
        </w:rPr>
      </w:pPr>
      <w:r>
        <w:rPr>
          <w:lang w:bidi="cy-GB"/>
        </w:rPr>
        <w:t>Ffurflen Gais Atodol Prentisiaeth</w:t>
      </w:r>
    </w:p>
    <w:p w14:paraId="4666EAAA" w14:textId="77777777" w:rsidR="00276447" w:rsidRDefault="00276447" w:rsidP="006D317E">
      <w:pPr>
        <w:pStyle w:val="ListParagraph"/>
        <w:numPr>
          <w:ilvl w:val="0"/>
          <w:numId w:val="4"/>
        </w:numPr>
        <w:rPr>
          <w:lang w:bidi="cy-GB"/>
        </w:rPr>
      </w:pPr>
      <w:r>
        <w:rPr>
          <w:lang w:bidi="cy-GB"/>
        </w:rPr>
        <w:t>Rhestr Wirio Iechyd a Diogelwch Cyflogwyr</w:t>
      </w:r>
    </w:p>
    <w:p w14:paraId="1FD9ACA1" w14:textId="77777777" w:rsidR="006D317E" w:rsidRDefault="006D317E" w:rsidP="00276447">
      <w:pPr>
        <w:rPr>
          <w:lang w:bidi="cy-GB"/>
        </w:rPr>
      </w:pPr>
    </w:p>
    <w:p w14:paraId="754548EE" w14:textId="1AE6B5D0" w:rsidR="00276447" w:rsidRDefault="00276447" w:rsidP="006D317E">
      <w:pPr>
        <w:pStyle w:val="Heading2"/>
        <w:rPr>
          <w:lang w:bidi="cy-GB"/>
        </w:rPr>
      </w:pPr>
      <w:r>
        <w:rPr>
          <w:lang w:bidi="cy-GB"/>
        </w:rPr>
        <w:t>Cydnabod Dysgu Blaenorol</w:t>
      </w:r>
    </w:p>
    <w:p w14:paraId="7E0BD61B" w14:textId="77777777" w:rsidR="00276447" w:rsidRDefault="00276447" w:rsidP="00276447">
      <w:pPr>
        <w:rPr>
          <w:lang w:bidi="cy-GB"/>
        </w:rPr>
      </w:pPr>
      <w:r>
        <w:rPr>
          <w:lang w:bidi="cy-GB"/>
        </w:rPr>
        <w:t>Mae Met Caerdydd yn cydnabod bod astudiaethau, hyfforddiant a phrofiad blaenorol a gafwyd drwy waith neu wirfoddoli yn weithgareddau a all gyfrif tuag at gyrsiau astudio a elwir yn Gydnabod Dysgu Blaenorol.</w:t>
      </w:r>
    </w:p>
    <w:p w14:paraId="2721CF8F" w14:textId="77777777" w:rsidR="00276447" w:rsidRDefault="00276447" w:rsidP="00276447">
      <w:pPr>
        <w:rPr>
          <w:lang w:bidi="cy-GB"/>
        </w:rPr>
      </w:pPr>
      <w:r>
        <w:rPr>
          <w:lang w:bidi="cy-GB"/>
        </w:rPr>
        <w:t>Gofynnir i ymgeiswyr sy’n dymuno hawlio credyd am ddysgu blaenorol adolygu’r wybodaeth ar y dudalen Cydnabod Dysgu Blaenorol.</w:t>
      </w:r>
    </w:p>
    <w:p w14:paraId="57245D44" w14:textId="77777777" w:rsidR="00276447" w:rsidRDefault="00276447" w:rsidP="00276447">
      <w:pPr>
        <w:rPr>
          <w:lang w:bidi="cy-GB"/>
        </w:rPr>
      </w:pPr>
      <w:r>
        <w:rPr>
          <w:lang w:bidi="cy-GB"/>
        </w:rPr>
        <w:t>Gellir ystyried prentisiaid sydd â HND/C priodol neu gymhwyster cyfatebol mewn pwnc perthnasol ar gyfer mynediad uniongyrchol i flynyddoedd 2 neu 3 neu eithriad. Gall profiad gwaith a ddangosir drwy Gydnabod Dysgu Profiadol hefyd ganiatáu mynediad uniongyrchol neu eithriad.</w:t>
      </w:r>
    </w:p>
    <w:p w14:paraId="48AEB82E" w14:textId="258E99A5" w:rsidR="00067616" w:rsidRDefault="00276447" w:rsidP="00276447">
      <w:pPr>
        <w:rPr>
          <w:lang w:bidi="cy-GB"/>
        </w:rPr>
      </w:pPr>
      <w:r>
        <w:rPr>
          <w:lang w:bidi="cy-GB"/>
        </w:rPr>
        <w:t xml:space="preserve">Gellir ystyried ymgeiswyr sydd â graddau neu brentisiaethau eraill a rhoi Cydnabyddiaeth Dysgu Blaenorol iddynt gydag uchafswm o 240 credyd. Os oes gan y radd a’r brentisiaeth yr un cynnwys yn union, ni chaniateir mynediad i’r </w:t>
      </w:r>
      <w:r w:rsidR="006D317E">
        <w:rPr>
          <w:lang w:bidi="cy-GB"/>
        </w:rPr>
        <w:t>b</w:t>
      </w:r>
      <w:r>
        <w:rPr>
          <w:lang w:bidi="cy-GB"/>
        </w:rPr>
        <w:t xml:space="preserve">rentisiaeth oherwydd bod y </w:t>
      </w:r>
      <w:r w:rsidR="006D317E">
        <w:rPr>
          <w:lang w:bidi="cy-GB"/>
        </w:rPr>
        <w:t>p</w:t>
      </w:r>
      <w:r>
        <w:rPr>
          <w:lang w:bidi="cy-GB"/>
        </w:rPr>
        <w:t>rentisiaethau’n cael eu hariannu gan Medr.</w:t>
      </w:r>
    </w:p>
    <w:p w14:paraId="22DC01A8" w14:textId="77777777" w:rsidR="00276447" w:rsidRPr="00276447" w:rsidRDefault="00276447" w:rsidP="00276447"/>
    <w:sectPr w:rsidR="00276447" w:rsidRPr="00276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4519"/>
    <w:multiLevelType w:val="multilevel"/>
    <w:tmpl w:val="2ADA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8263A"/>
    <w:multiLevelType w:val="multilevel"/>
    <w:tmpl w:val="88E4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179E6"/>
    <w:multiLevelType w:val="hybridMultilevel"/>
    <w:tmpl w:val="71E2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B38B2"/>
    <w:multiLevelType w:val="hybridMultilevel"/>
    <w:tmpl w:val="A20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867072">
    <w:abstractNumId w:val="0"/>
  </w:num>
  <w:num w:numId="2" w16cid:durableId="1683781695">
    <w:abstractNumId w:val="1"/>
  </w:num>
  <w:num w:numId="3" w16cid:durableId="1608193560">
    <w:abstractNumId w:val="2"/>
  </w:num>
  <w:num w:numId="4" w16cid:durableId="156614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BE"/>
    <w:rsid w:val="000011E6"/>
    <w:rsid w:val="00025EB9"/>
    <w:rsid w:val="00027D1C"/>
    <w:rsid w:val="000461A9"/>
    <w:rsid w:val="0005641D"/>
    <w:rsid w:val="0005669D"/>
    <w:rsid w:val="00060211"/>
    <w:rsid w:val="000620A3"/>
    <w:rsid w:val="00067616"/>
    <w:rsid w:val="00082A95"/>
    <w:rsid w:val="000A41AE"/>
    <w:rsid w:val="000D28B1"/>
    <w:rsid w:val="000F1245"/>
    <w:rsid w:val="001133AC"/>
    <w:rsid w:val="001608F0"/>
    <w:rsid w:val="0017317A"/>
    <w:rsid w:val="00183714"/>
    <w:rsid w:val="001C0792"/>
    <w:rsid w:val="001E51F1"/>
    <w:rsid w:val="001E7791"/>
    <w:rsid w:val="00276447"/>
    <w:rsid w:val="002B1B58"/>
    <w:rsid w:val="002D4E88"/>
    <w:rsid w:val="002F28B2"/>
    <w:rsid w:val="002F6E58"/>
    <w:rsid w:val="003023BD"/>
    <w:rsid w:val="00325A51"/>
    <w:rsid w:val="00340FAA"/>
    <w:rsid w:val="00362161"/>
    <w:rsid w:val="00366202"/>
    <w:rsid w:val="0037546C"/>
    <w:rsid w:val="003930BB"/>
    <w:rsid w:val="003B7874"/>
    <w:rsid w:val="003D4998"/>
    <w:rsid w:val="003F65AF"/>
    <w:rsid w:val="0041712F"/>
    <w:rsid w:val="00455AEA"/>
    <w:rsid w:val="00475EBF"/>
    <w:rsid w:val="00486B65"/>
    <w:rsid w:val="004D1D27"/>
    <w:rsid w:val="004D4106"/>
    <w:rsid w:val="004D770D"/>
    <w:rsid w:val="004F6A20"/>
    <w:rsid w:val="004F7274"/>
    <w:rsid w:val="00555163"/>
    <w:rsid w:val="005758D5"/>
    <w:rsid w:val="005869A6"/>
    <w:rsid w:val="00597A73"/>
    <w:rsid w:val="005A0EEC"/>
    <w:rsid w:val="005D2B9A"/>
    <w:rsid w:val="006043BC"/>
    <w:rsid w:val="006476DD"/>
    <w:rsid w:val="006737EE"/>
    <w:rsid w:val="006908FF"/>
    <w:rsid w:val="006D317E"/>
    <w:rsid w:val="006D35F0"/>
    <w:rsid w:val="006E569B"/>
    <w:rsid w:val="006F1FAC"/>
    <w:rsid w:val="007104B9"/>
    <w:rsid w:val="007248B9"/>
    <w:rsid w:val="00755F02"/>
    <w:rsid w:val="00756322"/>
    <w:rsid w:val="007749FE"/>
    <w:rsid w:val="007D28FF"/>
    <w:rsid w:val="007F1BE9"/>
    <w:rsid w:val="007F61B5"/>
    <w:rsid w:val="00832DD2"/>
    <w:rsid w:val="00870412"/>
    <w:rsid w:val="00875CB1"/>
    <w:rsid w:val="008769AA"/>
    <w:rsid w:val="0087728C"/>
    <w:rsid w:val="00884A0C"/>
    <w:rsid w:val="0089039A"/>
    <w:rsid w:val="008D3B29"/>
    <w:rsid w:val="008E26CC"/>
    <w:rsid w:val="008E7579"/>
    <w:rsid w:val="009164DE"/>
    <w:rsid w:val="00932705"/>
    <w:rsid w:val="00960181"/>
    <w:rsid w:val="0096218F"/>
    <w:rsid w:val="00966F96"/>
    <w:rsid w:val="0096711F"/>
    <w:rsid w:val="00972B3A"/>
    <w:rsid w:val="0098326B"/>
    <w:rsid w:val="009A4B66"/>
    <w:rsid w:val="00A05DB5"/>
    <w:rsid w:val="00A06188"/>
    <w:rsid w:val="00A13725"/>
    <w:rsid w:val="00A23BE6"/>
    <w:rsid w:val="00A45A8A"/>
    <w:rsid w:val="00A6086F"/>
    <w:rsid w:val="00A64FDD"/>
    <w:rsid w:val="00A6561A"/>
    <w:rsid w:val="00A81529"/>
    <w:rsid w:val="00A90317"/>
    <w:rsid w:val="00AB67F2"/>
    <w:rsid w:val="00AD2BAE"/>
    <w:rsid w:val="00AF3437"/>
    <w:rsid w:val="00AF435D"/>
    <w:rsid w:val="00AF6C75"/>
    <w:rsid w:val="00B134A2"/>
    <w:rsid w:val="00B2528B"/>
    <w:rsid w:val="00B31AE7"/>
    <w:rsid w:val="00B33CB6"/>
    <w:rsid w:val="00B410FA"/>
    <w:rsid w:val="00B47236"/>
    <w:rsid w:val="00BA651F"/>
    <w:rsid w:val="00BC5319"/>
    <w:rsid w:val="00BE0CAE"/>
    <w:rsid w:val="00BE29B6"/>
    <w:rsid w:val="00BE7324"/>
    <w:rsid w:val="00C029E1"/>
    <w:rsid w:val="00C109D4"/>
    <w:rsid w:val="00C25CB1"/>
    <w:rsid w:val="00C362B2"/>
    <w:rsid w:val="00C8102E"/>
    <w:rsid w:val="00CD2615"/>
    <w:rsid w:val="00CF6E7C"/>
    <w:rsid w:val="00D01AFA"/>
    <w:rsid w:val="00D048A1"/>
    <w:rsid w:val="00D07BFA"/>
    <w:rsid w:val="00D15EFC"/>
    <w:rsid w:val="00D20E09"/>
    <w:rsid w:val="00D21BCE"/>
    <w:rsid w:val="00D346B4"/>
    <w:rsid w:val="00D5395C"/>
    <w:rsid w:val="00D67CEA"/>
    <w:rsid w:val="00D83C70"/>
    <w:rsid w:val="00D95248"/>
    <w:rsid w:val="00DA348D"/>
    <w:rsid w:val="00DB5B30"/>
    <w:rsid w:val="00DB6769"/>
    <w:rsid w:val="00DE533C"/>
    <w:rsid w:val="00DF5730"/>
    <w:rsid w:val="00E30F80"/>
    <w:rsid w:val="00E56675"/>
    <w:rsid w:val="00E70366"/>
    <w:rsid w:val="00E70380"/>
    <w:rsid w:val="00E70742"/>
    <w:rsid w:val="00EE6335"/>
    <w:rsid w:val="00EF20D3"/>
    <w:rsid w:val="00F03979"/>
    <w:rsid w:val="00F12E30"/>
    <w:rsid w:val="00F253BE"/>
    <w:rsid w:val="00F53D2F"/>
    <w:rsid w:val="00F658E3"/>
    <w:rsid w:val="00F82B82"/>
    <w:rsid w:val="00FB23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9F98"/>
  <w15:chartTrackingRefBased/>
  <w15:docId w15:val="{5FF0585C-B2F7-410B-93E1-FEB20C7D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5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BE"/>
    <w:rPr>
      <w:rFonts w:eastAsiaTheme="majorEastAsia" w:cstheme="majorBidi"/>
      <w:color w:val="272727" w:themeColor="text1" w:themeTint="D8"/>
    </w:rPr>
  </w:style>
  <w:style w:type="paragraph" w:styleId="Title">
    <w:name w:val="Title"/>
    <w:basedOn w:val="Normal"/>
    <w:next w:val="Normal"/>
    <w:link w:val="TitleChar"/>
    <w:uiPriority w:val="10"/>
    <w:qFormat/>
    <w:rsid w:val="00F25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BE"/>
    <w:pPr>
      <w:spacing w:before="160"/>
      <w:jc w:val="center"/>
    </w:pPr>
    <w:rPr>
      <w:i/>
      <w:iCs/>
      <w:color w:val="404040" w:themeColor="text1" w:themeTint="BF"/>
    </w:rPr>
  </w:style>
  <w:style w:type="character" w:customStyle="1" w:styleId="QuoteChar">
    <w:name w:val="Quote Char"/>
    <w:basedOn w:val="DefaultParagraphFont"/>
    <w:link w:val="Quote"/>
    <w:uiPriority w:val="29"/>
    <w:rsid w:val="00F253BE"/>
    <w:rPr>
      <w:i/>
      <w:iCs/>
      <w:color w:val="404040" w:themeColor="text1" w:themeTint="BF"/>
    </w:rPr>
  </w:style>
  <w:style w:type="paragraph" w:styleId="ListParagraph">
    <w:name w:val="List Paragraph"/>
    <w:basedOn w:val="Normal"/>
    <w:uiPriority w:val="34"/>
    <w:qFormat/>
    <w:rsid w:val="00F253BE"/>
    <w:pPr>
      <w:ind w:left="720"/>
      <w:contextualSpacing/>
    </w:pPr>
  </w:style>
  <w:style w:type="character" w:styleId="IntenseEmphasis">
    <w:name w:val="Intense Emphasis"/>
    <w:basedOn w:val="DefaultParagraphFont"/>
    <w:uiPriority w:val="21"/>
    <w:qFormat/>
    <w:rsid w:val="00F253BE"/>
    <w:rPr>
      <w:i/>
      <w:iCs/>
      <w:color w:val="0F4761" w:themeColor="accent1" w:themeShade="BF"/>
    </w:rPr>
  </w:style>
  <w:style w:type="paragraph" w:styleId="IntenseQuote">
    <w:name w:val="Intense Quote"/>
    <w:basedOn w:val="Normal"/>
    <w:next w:val="Normal"/>
    <w:link w:val="IntenseQuoteChar"/>
    <w:uiPriority w:val="30"/>
    <w:qFormat/>
    <w:rsid w:val="00F2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3BE"/>
    <w:rPr>
      <w:i/>
      <w:iCs/>
      <w:color w:val="0F4761" w:themeColor="accent1" w:themeShade="BF"/>
    </w:rPr>
  </w:style>
  <w:style w:type="character" w:styleId="IntenseReference">
    <w:name w:val="Intense Reference"/>
    <w:basedOn w:val="DefaultParagraphFont"/>
    <w:uiPriority w:val="32"/>
    <w:qFormat/>
    <w:rsid w:val="00F253BE"/>
    <w:rPr>
      <w:b/>
      <w:bCs/>
      <w:smallCaps/>
      <w:color w:val="0F4761" w:themeColor="accent1" w:themeShade="BF"/>
      <w:spacing w:val="5"/>
    </w:rPr>
  </w:style>
  <w:style w:type="character" w:styleId="Hyperlink">
    <w:name w:val="Hyperlink"/>
    <w:basedOn w:val="DefaultParagraphFont"/>
    <w:uiPriority w:val="99"/>
    <w:unhideWhenUsed/>
    <w:rsid w:val="00F253BE"/>
    <w:rPr>
      <w:color w:val="0000FF"/>
      <w:u w:val="single"/>
    </w:rPr>
  </w:style>
  <w:style w:type="paragraph" w:styleId="NormalWeb">
    <w:name w:val="Normal (Web)"/>
    <w:basedOn w:val="Normal"/>
    <w:uiPriority w:val="99"/>
    <w:semiHidden/>
    <w:unhideWhenUsed/>
    <w:rsid w:val="00F253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749FE"/>
    <w:rPr>
      <w:color w:val="605E5C"/>
      <w:shd w:val="clear" w:color="auto" w:fill="E1DFDD"/>
    </w:rPr>
  </w:style>
  <w:style w:type="paragraph" w:styleId="Revision">
    <w:name w:val="Revision"/>
    <w:hidden/>
    <w:uiPriority w:val="99"/>
    <w:semiHidden/>
    <w:rsid w:val="00025EB9"/>
    <w:pPr>
      <w:spacing w:after="0" w:line="240" w:lineRule="auto"/>
    </w:pPr>
  </w:style>
  <w:style w:type="character" w:styleId="CommentReference">
    <w:name w:val="annotation reference"/>
    <w:basedOn w:val="DefaultParagraphFont"/>
    <w:uiPriority w:val="99"/>
    <w:semiHidden/>
    <w:unhideWhenUsed/>
    <w:rsid w:val="00025EB9"/>
    <w:rPr>
      <w:sz w:val="16"/>
      <w:szCs w:val="16"/>
    </w:rPr>
  </w:style>
  <w:style w:type="paragraph" w:styleId="CommentText">
    <w:name w:val="annotation text"/>
    <w:basedOn w:val="Normal"/>
    <w:link w:val="CommentTextChar"/>
    <w:uiPriority w:val="99"/>
    <w:unhideWhenUsed/>
    <w:rsid w:val="00025EB9"/>
    <w:pPr>
      <w:spacing w:line="240" w:lineRule="auto"/>
    </w:pPr>
    <w:rPr>
      <w:sz w:val="20"/>
      <w:szCs w:val="20"/>
    </w:rPr>
  </w:style>
  <w:style w:type="character" w:customStyle="1" w:styleId="CommentTextChar">
    <w:name w:val="Comment Text Char"/>
    <w:basedOn w:val="DefaultParagraphFont"/>
    <w:link w:val="CommentText"/>
    <w:uiPriority w:val="99"/>
    <w:rsid w:val="00025EB9"/>
    <w:rPr>
      <w:sz w:val="20"/>
      <w:szCs w:val="20"/>
    </w:rPr>
  </w:style>
  <w:style w:type="paragraph" w:styleId="CommentSubject">
    <w:name w:val="annotation subject"/>
    <w:basedOn w:val="CommentText"/>
    <w:next w:val="CommentText"/>
    <w:link w:val="CommentSubjectChar"/>
    <w:uiPriority w:val="99"/>
    <w:semiHidden/>
    <w:unhideWhenUsed/>
    <w:rsid w:val="00025EB9"/>
    <w:rPr>
      <w:b/>
      <w:bCs/>
    </w:rPr>
  </w:style>
  <w:style w:type="character" w:customStyle="1" w:styleId="CommentSubjectChar">
    <w:name w:val="Comment Subject Char"/>
    <w:basedOn w:val="CommentTextChar"/>
    <w:link w:val="CommentSubject"/>
    <w:uiPriority w:val="99"/>
    <w:semiHidden/>
    <w:rsid w:val="00025E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8865">
      <w:bodyDiv w:val="1"/>
      <w:marLeft w:val="0"/>
      <w:marRight w:val="0"/>
      <w:marTop w:val="0"/>
      <w:marBottom w:val="0"/>
      <w:divBdr>
        <w:top w:val="none" w:sz="0" w:space="0" w:color="auto"/>
        <w:left w:val="none" w:sz="0" w:space="0" w:color="auto"/>
        <w:bottom w:val="none" w:sz="0" w:space="0" w:color="auto"/>
        <w:right w:val="none" w:sz="0" w:space="0" w:color="auto"/>
      </w:divBdr>
    </w:div>
    <w:div w:id="541402637">
      <w:bodyDiv w:val="1"/>
      <w:marLeft w:val="0"/>
      <w:marRight w:val="0"/>
      <w:marTop w:val="0"/>
      <w:marBottom w:val="0"/>
      <w:divBdr>
        <w:top w:val="none" w:sz="0" w:space="0" w:color="auto"/>
        <w:left w:val="none" w:sz="0" w:space="0" w:color="auto"/>
        <w:bottom w:val="none" w:sz="0" w:space="0" w:color="auto"/>
        <w:right w:val="none" w:sz="0" w:space="0" w:color="auto"/>
      </w:divBdr>
    </w:div>
    <w:div w:id="603273160">
      <w:bodyDiv w:val="1"/>
      <w:marLeft w:val="0"/>
      <w:marRight w:val="0"/>
      <w:marTop w:val="0"/>
      <w:marBottom w:val="0"/>
      <w:divBdr>
        <w:top w:val="none" w:sz="0" w:space="0" w:color="auto"/>
        <w:left w:val="none" w:sz="0" w:space="0" w:color="auto"/>
        <w:bottom w:val="none" w:sz="0" w:space="0" w:color="auto"/>
        <w:right w:val="none" w:sz="0" w:space="0" w:color="auto"/>
      </w:divBdr>
    </w:div>
    <w:div w:id="1059784363">
      <w:bodyDiv w:val="1"/>
      <w:marLeft w:val="0"/>
      <w:marRight w:val="0"/>
      <w:marTop w:val="0"/>
      <w:marBottom w:val="0"/>
      <w:divBdr>
        <w:top w:val="none" w:sz="0" w:space="0" w:color="auto"/>
        <w:left w:val="none" w:sz="0" w:space="0" w:color="auto"/>
        <w:bottom w:val="none" w:sz="0" w:space="0" w:color="auto"/>
        <w:right w:val="none" w:sz="0" w:space="0" w:color="auto"/>
      </w:divBdr>
      <w:divsChild>
        <w:div w:id="875311893">
          <w:marLeft w:val="0"/>
          <w:marRight w:val="0"/>
          <w:marTop w:val="0"/>
          <w:marBottom w:val="0"/>
          <w:divBdr>
            <w:top w:val="none" w:sz="0" w:space="0" w:color="auto"/>
            <w:left w:val="none" w:sz="0" w:space="0" w:color="auto"/>
            <w:bottom w:val="none" w:sz="0" w:space="0" w:color="auto"/>
            <w:right w:val="none" w:sz="0" w:space="0" w:color="auto"/>
          </w:divBdr>
          <w:divsChild>
            <w:div w:id="556207807">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 w:id="1529217879">
      <w:bodyDiv w:val="1"/>
      <w:marLeft w:val="0"/>
      <w:marRight w:val="0"/>
      <w:marTop w:val="0"/>
      <w:marBottom w:val="0"/>
      <w:divBdr>
        <w:top w:val="none" w:sz="0" w:space="0" w:color="auto"/>
        <w:left w:val="none" w:sz="0" w:space="0" w:color="auto"/>
        <w:bottom w:val="none" w:sz="0" w:space="0" w:color="auto"/>
        <w:right w:val="none" w:sz="0" w:space="0" w:color="auto"/>
      </w:divBdr>
    </w:div>
    <w:div w:id="15817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F2244-A550-4AD9-8321-565D8D1467AD}">
  <ds:schemaRefs>
    <ds:schemaRef ds:uri="http://schemas.microsoft.com/sharepoint/v3/contenttype/forms"/>
  </ds:schemaRefs>
</ds:datastoreItem>
</file>

<file path=customXml/itemProps2.xml><?xml version="1.0" encoding="utf-8"?>
<ds:datastoreItem xmlns:ds="http://schemas.openxmlformats.org/officeDocument/2006/customXml" ds:itemID="{3E9E3D45-8550-4DF3-BFB0-86C5C827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D52882-7DA7-4914-9C96-00BD06276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Lisa</dc:creator>
  <cp:keywords/>
  <dc:description/>
  <cp:lastModifiedBy>Lewis, Ian</cp:lastModifiedBy>
  <cp:revision>53</cp:revision>
  <dcterms:created xsi:type="dcterms:W3CDTF">2025-07-28T08:29:00Z</dcterms:created>
  <dcterms:modified xsi:type="dcterms:W3CDTF">2025-08-04T08:10:00Z</dcterms:modified>
</cp:coreProperties>
</file>