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B07D8D">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77BCFA4A" w:rsidR="00B75892" w:rsidRDefault="00446A3A" w:rsidP="0009597B">
      <w:pPr>
        <w:pStyle w:val="Title"/>
        <w:jc w:val="center"/>
      </w:pPr>
      <w:bookmarkStart w:id="0" w:name="_Toc170308150"/>
      <w:r>
        <w:t xml:space="preserve">Senior Staff Severance </w:t>
      </w:r>
      <w:r w:rsidR="5D7DEAED">
        <w:t>Policy</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170308151"/>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14354CBB" w:rsidR="005D0B18" w:rsidRPr="00D9301C" w:rsidRDefault="00ED61A0" w:rsidP="00E62C64">
            <w:pPr>
              <w:rPr>
                <w:rStyle w:val="SubtleEmphasis"/>
              </w:rPr>
            </w:pPr>
            <w:r w:rsidRPr="00ED61A0">
              <w:rPr>
                <w:rStyle w:val="SubtleEmphasis"/>
              </w:rPr>
              <w:t>Senior Staff Severance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D9F3BD6" w:rsidR="00424E11" w:rsidRPr="00D9301C" w:rsidRDefault="00F43239" w:rsidP="00E62C64">
            <w:pPr>
              <w:rPr>
                <w:rStyle w:val="SubtleEmphasis"/>
              </w:rPr>
            </w:pPr>
            <w:r>
              <w:rPr>
                <w:rStyle w:val="SubtleEmphasis"/>
              </w:rPr>
              <w:t>March 2023</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1A7C2398" w:rsidR="00424E11" w:rsidRPr="00D9301C" w:rsidRDefault="00F618B5" w:rsidP="00E62C64">
            <w:pPr>
              <w:rPr>
                <w:rStyle w:val="SubtleEmphasis"/>
              </w:rPr>
            </w:pPr>
            <w:r w:rsidRPr="00F618B5">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69ACEA2D" w:rsidR="00424E11" w:rsidRPr="00D9301C" w:rsidRDefault="00F43239" w:rsidP="00E62C64">
            <w:pPr>
              <w:rPr>
                <w:rStyle w:val="SubtleEmphasis"/>
              </w:rPr>
            </w:pPr>
            <w:r>
              <w:rPr>
                <w:rStyle w:val="SubtleEmphasis"/>
              </w:rPr>
              <w:t>Version 8.0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EF83320" w:rsidR="00424E11" w:rsidRPr="00D9301C" w:rsidRDefault="002A6626" w:rsidP="00E62C64">
            <w:pPr>
              <w:rPr>
                <w:rStyle w:val="SubtleEmphasis"/>
              </w:rPr>
            </w:pPr>
            <w:r>
              <w:rPr>
                <w:rStyle w:val="SubtleEmphasis"/>
              </w:rPr>
              <w:t>March 2022</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2A32E014" w:rsidR="00424E11" w:rsidRPr="00D9301C" w:rsidRDefault="00F43239" w:rsidP="00E62C64">
            <w:pPr>
              <w:rPr>
                <w:rStyle w:val="SubtleEmphasis"/>
              </w:rPr>
            </w:pPr>
            <w:r>
              <w:rPr>
                <w:rStyle w:val="SubtleEmphasis"/>
              </w:rPr>
              <w:t>March 2024</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455EFA63" w:rsidR="00424E11" w:rsidRPr="00D9301C" w:rsidRDefault="00F43239" w:rsidP="00D9301C">
            <w:pPr>
              <w:rPr>
                <w:rStyle w:val="SubtleEmphasis"/>
              </w:rPr>
            </w:pPr>
            <w:r>
              <w:rPr>
                <w:rStyle w:val="SubtleEmphasis"/>
              </w:rPr>
              <w:t>TBC</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15C42CDA" w:rsidR="00424E11" w:rsidRPr="00D9301C" w:rsidRDefault="00424E11" w:rsidP="00E62C64">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74944959" w:rsidR="00424E11" w:rsidRPr="00D9301C" w:rsidRDefault="00A661AB" w:rsidP="00E62C64">
            <w:pPr>
              <w:rPr>
                <w:rStyle w:val="SubtleEmphasis"/>
              </w:rPr>
            </w:pPr>
            <w:r>
              <w:rPr>
                <w:rStyle w:val="SubtleEmphasis"/>
              </w:rPr>
              <w:t>August 2000</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1F88BB84" w:rsidR="00424E11" w:rsidRPr="00D9301C" w:rsidRDefault="006E3247" w:rsidP="00E62C64">
            <w:pPr>
              <w:rPr>
                <w:rStyle w:val="SubtleEmphasis"/>
              </w:rPr>
            </w:pPr>
            <w:r w:rsidRPr="006E3247">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37F84676" w:rsidR="00424E11" w:rsidRPr="00D9301C" w:rsidRDefault="00FD5E27"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14FB47C6" w:rsidR="00424E11" w:rsidRPr="00D9301C" w:rsidRDefault="00F43239" w:rsidP="00E62C64">
            <w:pPr>
              <w:rPr>
                <w:rStyle w:val="SubtleEmphasis"/>
              </w:rPr>
            </w:pPr>
            <w:r>
              <w:rPr>
                <w:rStyle w:val="SubtleEmphasis"/>
              </w:rPr>
              <w:t>LWilliams3</w:t>
            </w:r>
            <w:r w:rsidR="004F3F03" w:rsidRPr="00D9301C">
              <w:rPr>
                <w:rStyle w:val="SubtleEmphasis"/>
              </w:rPr>
              <w:t>@cardiffmet.ac.uk</w:t>
            </w:r>
          </w:p>
        </w:tc>
      </w:tr>
    </w:tbl>
    <w:p w14:paraId="2FD28679" w14:textId="77777777" w:rsidR="00351D20" w:rsidRDefault="00351D20" w:rsidP="00351D20">
      <w:pPr>
        <w:pStyle w:val="Heading1"/>
        <w:numPr>
          <w:ilvl w:val="0"/>
          <w:numId w:val="0"/>
        </w:numPr>
        <w:ind w:left="431" w:hanging="431"/>
      </w:pPr>
      <w:bookmarkStart w:id="5" w:name="_Toc170308152"/>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A86085">
      <w:pPr>
        <w:pStyle w:val="ActionPoints"/>
        <w:numPr>
          <w:ilvl w:val="0"/>
          <w:numId w:val="0"/>
        </w:numPr>
      </w:pPr>
    </w:p>
    <w:p w14:paraId="255A834B" w14:textId="59AA0015" w:rsidR="001F4CE8" w:rsidRDefault="001D4929" w:rsidP="00A86085">
      <w:pPr>
        <w:pStyle w:val="ActionPoints"/>
        <w:numPr>
          <w:ilvl w:val="0"/>
          <w:numId w:val="0"/>
        </w:numPr>
      </w:pPr>
      <w:r w:rsidRPr="001F4CE8">
        <w:rPr>
          <w:b/>
          <w:bCs/>
        </w:rPr>
        <w:t>Mae'r ddogfen hon hefyd ar gael yn Gymraeg</w:t>
      </w:r>
      <w:r w:rsidRPr="001D4929">
        <w:t xml:space="preserve"> / This document is also available in Welsh</w:t>
      </w:r>
      <w:r>
        <w:t>.</w:t>
      </w:r>
    </w:p>
    <w:p w14:paraId="3898AC63" w14:textId="4500443A" w:rsidR="00F43239" w:rsidRDefault="00F43239">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7AF5465C" w14:textId="77777777" w:rsidR="00F43239" w:rsidRDefault="00176A6B" w:rsidP="00401B1F">
          <w:pPr>
            <w:pStyle w:val="TOC1"/>
            <w:rPr>
              <w:noProof/>
            </w:rPr>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2E993AEC" w14:textId="1DF0EADF" w:rsidR="00F43239" w:rsidRDefault="00F43239">
          <w:pPr>
            <w:pStyle w:val="TOC1"/>
            <w:rPr>
              <w:rFonts w:asciiTheme="minorHAnsi" w:eastAsiaTheme="minorEastAsia" w:hAnsiTheme="minorHAnsi"/>
              <w:noProof/>
              <w:color w:val="auto"/>
              <w:kern w:val="2"/>
              <w:szCs w:val="24"/>
              <w:lang w:eastAsia="en-GB"/>
              <w14:ligatures w14:val="standardContextual"/>
            </w:rPr>
          </w:pPr>
          <w:hyperlink w:anchor="_Toc170308150" w:history="1">
            <w:r w:rsidRPr="003737ED">
              <w:rPr>
                <w:rStyle w:val="Hyperlink"/>
                <w:noProof/>
              </w:rPr>
              <w:t>Senior Staff Severance Policy</w:t>
            </w:r>
            <w:r>
              <w:rPr>
                <w:noProof/>
                <w:webHidden/>
              </w:rPr>
              <w:tab/>
            </w:r>
            <w:r>
              <w:rPr>
                <w:noProof/>
                <w:webHidden/>
              </w:rPr>
              <w:fldChar w:fldCharType="begin"/>
            </w:r>
            <w:r>
              <w:rPr>
                <w:noProof/>
                <w:webHidden/>
              </w:rPr>
              <w:instrText xml:space="preserve"> PAGEREF _Toc170308150 \h </w:instrText>
            </w:r>
            <w:r>
              <w:rPr>
                <w:noProof/>
                <w:webHidden/>
              </w:rPr>
            </w:r>
            <w:r>
              <w:rPr>
                <w:noProof/>
                <w:webHidden/>
              </w:rPr>
              <w:fldChar w:fldCharType="separate"/>
            </w:r>
            <w:r>
              <w:rPr>
                <w:noProof/>
                <w:webHidden/>
              </w:rPr>
              <w:t>1</w:t>
            </w:r>
            <w:r>
              <w:rPr>
                <w:noProof/>
                <w:webHidden/>
              </w:rPr>
              <w:fldChar w:fldCharType="end"/>
            </w:r>
          </w:hyperlink>
        </w:p>
        <w:p w14:paraId="4776412E" w14:textId="3BD38694" w:rsidR="00F43239" w:rsidRDefault="00F43239">
          <w:pPr>
            <w:pStyle w:val="TOC1"/>
            <w:rPr>
              <w:rFonts w:asciiTheme="minorHAnsi" w:eastAsiaTheme="minorEastAsia" w:hAnsiTheme="minorHAnsi"/>
              <w:noProof/>
              <w:color w:val="auto"/>
              <w:kern w:val="2"/>
              <w:szCs w:val="24"/>
              <w:lang w:eastAsia="en-GB"/>
              <w14:ligatures w14:val="standardContextual"/>
            </w:rPr>
          </w:pPr>
          <w:hyperlink w:anchor="_Toc170308151" w:history="1">
            <w:r w:rsidRPr="003737ED">
              <w:rPr>
                <w:rStyle w:val="Hyperlink"/>
                <w:noProof/>
              </w:rPr>
              <w:t>Key Details</w:t>
            </w:r>
            <w:r>
              <w:rPr>
                <w:noProof/>
                <w:webHidden/>
              </w:rPr>
              <w:tab/>
            </w:r>
            <w:r>
              <w:rPr>
                <w:noProof/>
                <w:webHidden/>
              </w:rPr>
              <w:fldChar w:fldCharType="begin"/>
            </w:r>
            <w:r>
              <w:rPr>
                <w:noProof/>
                <w:webHidden/>
              </w:rPr>
              <w:instrText xml:space="preserve"> PAGEREF _Toc170308151 \h </w:instrText>
            </w:r>
            <w:r>
              <w:rPr>
                <w:noProof/>
                <w:webHidden/>
              </w:rPr>
            </w:r>
            <w:r>
              <w:rPr>
                <w:noProof/>
                <w:webHidden/>
              </w:rPr>
              <w:fldChar w:fldCharType="separate"/>
            </w:r>
            <w:r>
              <w:rPr>
                <w:noProof/>
                <w:webHidden/>
              </w:rPr>
              <w:t>1</w:t>
            </w:r>
            <w:r>
              <w:rPr>
                <w:noProof/>
                <w:webHidden/>
              </w:rPr>
              <w:fldChar w:fldCharType="end"/>
            </w:r>
          </w:hyperlink>
        </w:p>
        <w:p w14:paraId="1EAF6C90" w14:textId="20172658" w:rsidR="00F43239" w:rsidRDefault="00F43239">
          <w:pPr>
            <w:pStyle w:val="TOC1"/>
            <w:rPr>
              <w:rFonts w:asciiTheme="minorHAnsi" w:eastAsiaTheme="minorEastAsia" w:hAnsiTheme="minorHAnsi"/>
              <w:noProof/>
              <w:color w:val="auto"/>
              <w:kern w:val="2"/>
              <w:szCs w:val="24"/>
              <w:lang w:eastAsia="en-GB"/>
              <w14:ligatures w14:val="standardContextual"/>
            </w:rPr>
          </w:pPr>
          <w:hyperlink w:anchor="_Toc170308152" w:history="1">
            <w:r w:rsidRPr="003737ED">
              <w:rPr>
                <w:rStyle w:val="Hyperlink"/>
                <w:noProof/>
              </w:rPr>
              <w:t>Policy Hub</w:t>
            </w:r>
            <w:r>
              <w:rPr>
                <w:noProof/>
                <w:webHidden/>
              </w:rPr>
              <w:tab/>
            </w:r>
            <w:r>
              <w:rPr>
                <w:noProof/>
                <w:webHidden/>
              </w:rPr>
              <w:fldChar w:fldCharType="begin"/>
            </w:r>
            <w:r>
              <w:rPr>
                <w:noProof/>
                <w:webHidden/>
              </w:rPr>
              <w:instrText xml:space="preserve"> PAGEREF _Toc170308152 \h </w:instrText>
            </w:r>
            <w:r>
              <w:rPr>
                <w:noProof/>
                <w:webHidden/>
              </w:rPr>
            </w:r>
            <w:r>
              <w:rPr>
                <w:noProof/>
                <w:webHidden/>
              </w:rPr>
              <w:fldChar w:fldCharType="separate"/>
            </w:r>
            <w:r>
              <w:rPr>
                <w:noProof/>
                <w:webHidden/>
              </w:rPr>
              <w:t>1</w:t>
            </w:r>
            <w:r>
              <w:rPr>
                <w:noProof/>
                <w:webHidden/>
              </w:rPr>
              <w:fldChar w:fldCharType="end"/>
            </w:r>
          </w:hyperlink>
        </w:p>
        <w:p w14:paraId="4AE4848A" w14:textId="2E06CF2B" w:rsidR="00F43239" w:rsidRDefault="00F43239">
          <w:pPr>
            <w:pStyle w:val="TOC1"/>
            <w:rPr>
              <w:rFonts w:asciiTheme="minorHAnsi" w:eastAsiaTheme="minorEastAsia" w:hAnsiTheme="minorHAnsi"/>
              <w:noProof/>
              <w:color w:val="auto"/>
              <w:kern w:val="2"/>
              <w:szCs w:val="24"/>
              <w:lang w:eastAsia="en-GB"/>
              <w14:ligatures w14:val="standardContextual"/>
            </w:rPr>
          </w:pPr>
          <w:hyperlink w:anchor="_Toc170308153" w:history="1">
            <w:r w:rsidRPr="003737ED">
              <w:rPr>
                <w:rStyle w:val="Hyperlink"/>
                <w:noProof/>
              </w:rPr>
              <w:t>Policy Governing Severance Payments to Senior Staff</w:t>
            </w:r>
            <w:r>
              <w:rPr>
                <w:noProof/>
                <w:webHidden/>
              </w:rPr>
              <w:tab/>
            </w:r>
            <w:r>
              <w:rPr>
                <w:noProof/>
                <w:webHidden/>
              </w:rPr>
              <w:fldChar w:fldCharType="begin"/>
            </w:r>
            <w:r>
              <w:rPr>
                <w:noProof/>
                <w:webHidden/>
              </w:rPr>
              <w:instrText xml:space="preserve"> PAGEREF _Toc170308153 \h </w:instrText>
            </w:r>
            <w:r>
              <w:rPr>
                <w:noProof/>
                <w:webHidden/>
              </w:rPr>
            </w:r>
            <w:r>
              <w:rPr>
                <w:noProof/>
                <w:webHidden/>
              </w:rPr>
              <w:fldChar w:fldCharType="separate"/>
            </w:r>
            <w:r>
              <w:rPr>
                <w:noProof/>
                <w:webHidden/>
              </w:rPr>
              <w:t>3</w:t>
            </w:r>
            <w:r>
              <w:rPr>
                <w:noProof/>
                <w:webHidden/>
              </w:rPr>
              <w:fldChar w:fldCharType="end"/>
            </w:r>
          </w:hyperlink>
        </w:p>
        <w:p w14:paraId="3BBD6CC3" w14:textId="622E5745" w:rsidR="00F43239" w:rsidRDefault="00F43239">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70308154" w:history="1">
            <w:r w:rsidRPr="003737ED">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3737ED">
              <w:rPr>
                <w:rStyle w:val="Hyperlink"/>
                <w:noProof/>
              </w:rPr>
              <w:t>Introduction</w:t>
            </w:r>
            <w:r>
              <w:rPr>
                <w:noProof/>
                <w:webHidden/>
              </w:rPr>
              <w:tab/>
            </w:r>
            <w:r>
              <w:rPr>
                <w:noProof/>
                <w:webHidden/>
              </w:rPr>
              <w:fldChar w:fldCharType="begin"/>
            </w:r>
            <w:r>
              <w:rPr>
                <w:noProof/>
                <w:webHidden/>
              </w:rPr>
              <w:instrText xml:space="preserve"> PAGEREF _Toc170308154 \h </w:instrText>
            </w:r>
            <w:r>
              <w:rPr>
                <w:noProof/>
                <w:webHidden/>
              </w:rPr>
            </w:r>
            <w:r>
              <w:rPr>
                <w:noProof/>
                <w:webHidden/>
              </w:rPr>
              <w:fldChar w:fldCharType="separate"/>
            </w:r>
            <w:r>
              <w:rPr>
                <w:noProof/>
                <w:webHidden/>
              </w:rPr>
              <w:t>3</w:t>
            </w:r>
            <w:r>
              <w:rPr>
                <w:noProof/>
                <w:webHidden/>
              </w:rPr>
              <w:fldChar w:fldCharType="end"/>
            </w:r>
          </w:hyperlink>
        </w:p>
        <w:p w14:paraId="6D024B61" w14:textId="654D81BE" w:rsidR="00F43239" w:rsidRDefault="00F43239">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70308155" w:history="1">
            <w:r w:rsidRPr="003737ED">
              <w:rPr>
                <w:rStyle w:val="Hyperlink"/>
                <w:rFonts w:asciiTheme="majorHAnsi" w:hAnsiTheme="majorHAnsi"/>
                <w:noProof/>
                <w:lang w:eastAsia="en-GB"/>
              </w:rPr>
              <w:t>2</w:t>
            </w:r>
            <w:r>
              <w:rPr>
                <w:rFonts w:asciiTheme="minorHAnsi" w:eastAsiaTheme="minorEastAsia" w:hAnsiTheme="minorHAnsi"/>
                <w:noProof/>
                <w:color w:val="auto"/>
                <w:kern w:val="2"/>
                <w:szCs w:val="24"/>
                <w:lang w:eastAsia="en-GB"/>
                <w14:ligatures w14:val="standardContextual"/>
              </w:rPr>
              <w:tab/>
            </w:r>
            <w:r w:rsidRPr="003737ED">
              <w:rPr>
                <w:rStyle w:val="Hyperlink"/>
                <w:noProof/>
              </w:rPr>
              <w:t>Responsibility</w:t>
            </w:r>
            <w:r>
              <w:rPr>
                <w:noProof/>
                <w:webHidden/>
              </w:rPr>
              <w:tab/>
            </w:r>
            <w:r>
              <w:rPr>
                <w:noProof/>
                <w:webHidden/>
              </w:rPr>
              <w:fldChar w:fldCharType="begin"/>
            </w:r>
            <w:r>
              <w:rPr>
                <w:noProof/>
                <w:webHidden/>
              </w:rPr>
              <w:instrText xml:space="preserve"> PAGEREF _Toc170308155 \h </w:instrText>
            </w:r>
            <w:r>
              <w:rPr>
                <w:noProof/>
                <w:webHidden/>
              </w:rPr>
            </w:r>
            <w:r>
              <w:rPr>
                <w:noProof/>
                <w:webHidden/>
              </w:rPr>
              <w:fldChar w:fldCharType="separate"/>
            </w:r>
            <w:r>
              <w:rPr>
                <w:noProof/>
                <w:webHidden/>
              </w:rPr>
              <w:t>3</w:t>
            </w:r>
            <w:r>
              <w:rPr>
                <w:noProof/>
                <w:webHidden/>
              </w:rPr>
              <w:fldChar w:fldCharType="end"/>
            </w:r>
          </w:hyperlink>
        </w:p>
        <w:p w14:paraId="0C12C094" w14:textId="664B7FDE" w:rsidR="00F43239" w:rsidRDefault="00F43239">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70308156" w:history="1">
            <w:r w:rsidRPr="003737ED">
              <w:rPr>
                <w:rStyle w:val="Hyperlink"/>
                <w:rFonts w:asciiTheme="majorHAnsi" w:hAnsiTheme="majorHAnsi"/>
                <w:noProof/>
                <w:lang w:eastAsia="en-GB"/>
              </w:rPr>
              <w:t>3</w:t>
            </w:r>
            <w:r>
              <w:rPr>
                <w:rFonts w:asciiTheme="minorHAnsi" w:eastAsiaTheme="minorEastAsia" w:hAnsiTheme="minorHAnsi"/>
                <w:noProof/>
                <w:color w:val="auto"/>
                <w:kern w:val="2"/>
                <w:szCs w:val="24"/>
                <w:lang w:eastAsia="en-GB"/>
                <w14:ligatures w14:val="standardContextual"/>
              </w:rPr>
              <w:tab/>
            </w:r>
            <w:r w:rsidRPr="003737ED">
              <w:rPr>
                <w:rStyle w:val="Hyperlink"/>
                <w:noProof/>
              </w:rPr>
              <w:t>Principles</w:t>
            </w:r>
            <w:r>
              <w:rPr>
                <w:noProof/>
                <w:webHidden/>
              </w:rPr>
              <w:tab/>
            </w:r>
            <w:r>
              <w:rPr>
                <w:noProof/>
                <w:webHidden/>
              </w:rPr>
              <w:fldChar w:fldCharType="begin"/>
            </w:r>
            <w:r>
              <w:rPr>
                <w:noProof/>
                <w:webHidden/>
              </w:rPr>
              <w:instrText xml:space="preserve"> PAGEREF _Toc170308156 \h </w:instrText>
            </w:r>
            <w:r>
              <w:rPr>
                <w:noProof/>
                <w:webHidden/>
              </w:rPr>
            </w:r>
            <w:r>
              <w:rPr>
                <w:noProof/>
                <w:webHidden/>
              </w:rPr>
              <w:fldChar w:fldCharType="separate"/>
            </w:r>
            <w:r>
              <w:rPr>
                <w:noProof/>
                <w:webHidden/>
              </w:rPr>
              <w:t>4</w:t>
            </w:r>
            <w:r>
              <w:rPr>
                <w:noProof/>
                <w:webHidden/>
              </w:rPr>
              <w:fldChar w:fldCharType="end"/>
            </w:r>
          </w:hyperlink>
        </w:p>
        <w:p w14:paraId="46729674" w14:textId="6F596767" w:rsidR="00F43239" w:rsidRDefault="00F43239">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70308157" w:history="1">
            <w:r w:rsidRPr="003737ED">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3737ED">
              <w:rPr>
                <w:rStyle w:val="Hyperlink"/>
                <w:noProof/>
              </w:rPr>
              <w:t>Professional Advice</w:t>
            </w:r>
            <w:r>
              <w:rPr>
                <w:noProof/>
                <w:webHidden/>
              </w:rPr>
              <w:tab/>
            </w:r>
            <w:r>
              <w:rPr>
                <w:noProof/>
                <w:webHidden/>
              </w:rPr>
              <w:fldChar w:fldCharType="begin"/>
            </w:r>
            <w:r>
              <w:rPr>
                <w:noProof/>
                <w:webHidden/>
              </w:rPr>
              <w:instrText xml:space="preserve"> PAGEREF _Toc170308157 \h </w:instrText>
            </w:r>
            <w:r>
              <w:rPr>
                <w:noProof/>
                <w:webHidden/>
              </w:rPr>
            </w:r>
            <w:r>
              <w:rPr>
                <w:noProof/>
                <w:webHidden/>
              </w:rPr>
              <w:fldChar w:fldCharType="separate"/>
            </w:r>
            <w:r>
              <w:rPr>
                <w:noProof/>
                <w:webHidden/>
              </w:rPr>
              <w:t>5</w:t>
            </w:r>
            <w:r>
              <w:rPr>
                <w:noProof/>
                <w:webHidden/>
              </w:rPr>
              <w:fldChar w:fldCharType="end"/>
            </w:r>
          </w:hyperlink>
        </w:p>
        <w:p w14:paraId="3502ABD2" w14:textId="574490F8" w:rsidR="00F43239" w:rsidRDefault="00F43239">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70308158" w:history="1">
            <w:r w:rsidRPr="003737ED">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3737ED">
              <w:rPr>
                <w:rStyle w:val="Hyperlink"/>
                <w:noProof/>
              </w:rPr>
              <w:t>Review</w:t>
            </w:r>
            <w:r>
              <w:rPr>
                <w:noProof/>
                <w:webHidden/>
              </w:rPr>
              <w:tab/>
            </w:r>
            <w:r>
              <w:rPr>
                <w:noProof/>
                <w:webHidden/>
              </w:rPr>
              <w:fldChar w:fldCharType="begin"/>
            </w:r>
            <w:r>
              <w:rPr>
                <w:noProof/>
                <w:webHidden/>
              </w:rPr>
              <w:instrText xml:space="preserve"> PAGEREF _Toc170308158 \h </w:instrText>
            </w:r>
            <w:r>
              <w:rPr>
                <w:noProof/>
                <w:webHidden/>
              </w:rPr>
            </w:r>
            <w:r>
              <w:rPr>
                <w:noProof/>
                <w:webHidden/>
              </w:rPr>
              <w:fldChar w:fldCharType="separate"/>
            </w:r>
            <w:r>
              <w:rPr>
                <w:noProof/>
                <w:webHidden/>
              </w:rPr>
              <w:t>5</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1474BBDA" w14:textId="08D3C539" w:rsidR="001753CB" w:rsidRPr="001753CB" w:rsidRDefault="00367508" w:rsidP="001753CB">
      <w:pPr>
        <w:pStyle w:val="Title"/>
        <w:rPr>
          <w:rFonts w:ascii="Altis Book" w:hAnsi="Altis Book"/>
          <w:color w:val="415464"/>
          <w:spacing w:val="0"/>
          <w:kern w:val="0"/>
          <w:sz w:val="28"/>
          <w:szCs w:val="32"/>
        </w:rPr>
      </w:pPr>
      <w:bookmarkStart w:id="6" w:name="_Toc170308153"/>
      <w:r>
        <w:lastRenderedPageBreak/>
        <w:t>Policy Governing Severance Payments to Senior Staff</w:t>
      </w:r>
      <w:bookmarkEnd w:id="6"/>
    </w:p>
    <w:p w14:paraId="1622897D" w14:textId="77777777" w:rsidR="00092736" w:rsidRPr="007E37C8" w:rsidRDefault="00092736" w:rsidP="007E37C8">
      <w:pPr>
        <w:pStyle w:val="Heading1"/>
      </w:pPr>
      <w:bookmarkStart w:id="7" w:name="_Toc170308154"/>
      <w:r w:rsidRPr="007E37C8">
        <w:t>Introduction</w:t>
      </w:r>
      <w:bookmarkEnd w:id="7"/>
      <w:r w:rsidRPr="007E37C8">
        <w:t xml:space="preserve"> </w:t>
      </w:r>
    </w:p>
    <w:p w14:paraId="46013C5A" w14:textId="77777777" w:rsidR="00092736" w:rsidRPr="00664AAC" w:rsidRDefault="00092736" w:rsidP="00092736">
      <w:pPr>
        <w:pStyle w:val="Heading2"/>
        <w:rPr>
          <w:sz w:val="28"/>
          <w:u w:color="000000"/>
          <w:lang w:eastAsia="en-GB"/>
        </w:rPr>
      </w:pPr>
      <w:r w:rsidRPr="00664AAC">
        <w:rPr>
          <w:lang w:eastAsia="en-GB"/>
        </w:rPr>
        <w:t xml:space="preserve">Cardiff Metropolitan University concludes severance payment arrangements with members of staff from time to time to end the employment relationship.  In circumstances where the staff member is being made redundant or is retiring early in the interests of the efficiency of the Institution, the University may (depending on the rules of the relevant pension scheme) have discretionary powers to grant premature retirement benefits. Where the University does not have power to grant such benefits, or it does have but does not choose to exercise such powers, the University may make an ex-gratia payment (which is a payment not designed to extinguish a contractual obligation).  An ex-gratia payment may also be made in circumstances other than the redundancy or premature retirement of a staff member. </w:t>
      </w:r>
    </w:p>
    <w:p w14:paraId="38752E86" w14:textId="77777777" w:rsidR="00092736" w:rsidRPr="00664AAC" w:rsidRDefault="00092736" w:rsidP="00092736">
      <w:pPr>
        <w:pStyle w:val="Heading2"/>
        <w:rPr>
          <w:szCs w:val="24"/>
          <w:u w:color="000000"/>
          <w:lang w:eastAsia="en-GB"/>
        </w:rPr>
      </w:pPr>
      <w:r w:rsidRPr="00664AAC">
        <w:rPr>
          <w:rFonts w:eastAsia="Arial" w:cs="Arial"/>
          <w:szCs w:val="24"/>
          <w:lang w:eastAsia="en-GB"/>
        </w:rPr>
        <w:t>The University is required, when concluding any severance payment arrangements with senior staff, to observe the principles set out in the Committee of University Chairs (CUC) HE Senior Staff Remuneration Code (November 2021) as well as any relevant guidance from the Higher Education Funding Council for Wales’ (HEFCW) The Code requires that any severance payments must be reasonable and justifiable</w:t>
      </w:r>
      <w:r w:rsidRPr="00664AAC">
        <w:rPr>
          <w:szCs w:val="24"/>
          <w:vertAlign w:val="superscript"/>
          <w:lang w:eastAsia="en-GB"/>
        </w:rPr>
        <w:footnoteReference w:id="1"/>
      </w:r>
      <w:r w:rsidRPr="00664AAC">
        <w:rPr>
          <w:rFonts w:eastAsia="Arial" w:cs="Arial"/>
          <w:szCs w:val="24"/>
          <w:lang w:eastAsia="en-GB"/>
        </w:rPr>
        <w:t xml:space="preserve">.    </w:t>
      </w:r>
    </w:p>
    <w:p w14:paraId="02869EC1" w14:textId="77777777" w:rsidR="00092736" w:rsidRPr="00664AAC" w:rsidRDefault="00092736" w:rsidP="00092736">
      <w:pPr>
        <w:pStyle w:val="Heading2"/>
        <w:rPr>
          <w:lang w:eastAsia="en-GB"/>
        </w:rPr>
      </w:pPr>
      <w:r w:rsidRPr="00664AAC">
        <w:rPr>
          <w:lang w:eastAsia="en-GB"/>
        </w:rPr>
        <w:t>All universities are required by HEFCW to have a policy governing all severance packages for senior staff.</w:t>
      </w:r>
    </w:p>
    <w:p w14:paraId="0184FDF3" w14:textId="77777777" w:rsidR="00092736" w:rsidRPr="00664AAC" w:rsidRDefault="00092736" w:rsidP="00092736">
      <w:pPr>
        <w:pStyle w:val="Heading2"/>
        <w:rPr>
          <w:bCs/>
          <w:iCs/>
          <w:lang w:eastAsia="en-GB"/>
        </w:rPr>
      </w:pPr>
      <w:r w:rsidRPr="00664AAC">
        <w:rPr>
          <w:bCs/>
          <w:iCs/>
          <w:lang w:eastAsia="en-GB"/>
        </w:rPr>
        <w:t xml:space="preserve">This policy complies with the CUC Higher Education Senior Staff Remuneration Code (November 2021). </w:t>
      </w:r>
    </w:p>
    <w:p w14:paraId="660F10B8" w14:textId="77777777" w:rsidR="00092736" w:rsidRPr="00664AAC" w:rsidRDefault="00092736" w:rsidP="00092736">
      <w:pPr>
        <w:pStyle w:val="Heading2"/>
        <w:rPr>
          <w:lang w:eastAsia="en-GB"/>
        </w:rPr>
      </w:pPr>
      <w:r w:rsidRPr="00664AAC">
        <w:rPr>
          <w:lang w:eastAsia="en-GB"/>
        </w:rPr>
        <w:t xml:space="preserve">This policy applies to all senior staff of Cardiff Metropolitan University which means all </w:t>
      </w:r>
      <w:r w:rsidRPr="00664AAC">
        <w:rPr>
          <w:b/>
          <w:i/>
          <w:lang w:eastAsia="en-GB"/>
        </w:rPr>
        <w:t>Levels 1 and 2</w:t>
      </w:r>
      <w:r w:rsidRPr="00664AAC">
        <w:rPr>
          <w:lang w:eastAsia="en-GB"/>
        </w:rPr>
        <w:t xml:space="preserve"> (the Vice-Chancellor and the Vice-Chancellor’s Executive Group), and any other staff where the payment would be £100,000 or more (in line with HEFCW’s Accounts Direction). </w:t>
      </w:r>
      <w:r w:rsidRPr="00664AAC">
        <w:rPr>
          <w:rFonts w:eastAsia="Arial" w:cs="Arial"/>
          <w:sz w:val="22"/>
          <w:lang w:eastAsia="en-GB"/>
        </w:rPr>
        <w:t xml:space="preserve"> </w:t>
      </w:r>
    </w:p>
    <w:p w14:paraId="6B015194" w14:textId="77777777" w:rsidR="00092736" w:rsidRPr="00664AAC" w:rsidRDefault="00092736" w:rsidP="004449FF">
      <w:pPr>
        <w:pStyle w:val="Heading1"/>
        <w:rPr>
          <w:u w:color="000000"/>
          <w:lang w:eastAsia="en-GB"/>
        </w:rPr>
      </w:pPr>
      <w:bookmarkStart w:id="8" w:name="_Toc170308155"/>
      <w:r w:rsidRPr="004449FF">
        <w:t>Responsibility</w:t>
      </w:r>
      <w:bookmarkEnd w:id="8"/>
      <w:r w:rsidRPr="00664AAC">
        <w:rPr>
          <w:u w:color="000000"/>
          <w:lang w:eastAsia="en-GB"/>
        </w:rPr>
        <w:t xml:space="preserve"> </w:t>
      </w:r>
    </w:p>
    <w:p w14:paraId="2CA399B2" w14:textId="77777777" w:rsidR="00092736" w:rsidRPr="00664AAC" w:rsidRDefault="00092736" w:rsidP="00092736">
      <w:pPr>
        <w:spacing w:after="14"/>
        <w:ind w:left="1167"/>
        <w:rPr>
          <w:rFonts w:eastAsia="Arial" w:cs="Arial"/>
          <w:sz w:val="22"/>
          <w:lang w:eastAsia="en-GB"/>
        </w:rPr>
      </w:pPr>
      <w:r w:rsidRPr="00664AAC">
        <w:rPr>
          <w:rFonts w:eastAsia="Arial" w:cs="Arial"/>
          <w:sz w:val="22"/>
          <w:lang w:eastAsia="en-GB"/>
        </w:rPr>
        <w:t xml:space="preserve"> </w:t>
      </w:r>
    </w:p>
    <w:p w14:paraId="1B4C101E" w14:textId="77777777" w:rsidR="00092736" w:rsidRPr="00664AAC" w:rsidRDefault="00092736" w:rsidP="00092736">
      <w:pPr>
        <w:pStyle w:val="Heading2"/>
        <w:rPr>
          <w:lang w:eastAsia="en-GB"/>
        </w:rPr>
      </w:pPr>
      <w:r w:rsidRPr="00664AAC">
        <w:rPr>
          <w:lang w:eastAsia="en-GB"/>
        </w:rPr>
        <w:t xml:space="preserve">The Board of Governors is responsible for any severance payment to any senior staff member as defined in the Scheme of Delegation.   </w:t>
      </w:r>
    </w:p>
    <w:p w14:paraId="50130931" w14:textId="77777777" w:rsidR="00092736" w:rsidRPr="00664AAC" w:rsidRDefault="00092736" w:rsidP="00092736">
      <w:pPr>
        <w:pStyle w:val="Heading2"/>
        <w:rPr>
          <w:lang w:eastAsia="en-GB"/>
        </w:rPr>
      </w:pPr>
      <w:r w:rsidRPr="00664AAC">
        <w:rPr>
          <w:lang w:eastAsia="en-GB"/>
        </w:rPr>
        <w:lastRenderedPageBreak/>
        <w:t xml:space="preserve">The Board has duly delegated the responsibility for approving severance payment arrangements for senior staff to the Remuneration Committee, as set out in the Scheme of Delegation.   </w:t>
      </w:r>
    </w:p>
    <w:p w14:paraId="055482C8" w14:textId="77777777" w:rsidR="00092736" w:rsidRPr="00664AAC" w:rsidRDefault="00092736" w:rsidP="00092736">
      <w:pPr>
        <w:pStyle w:val="Heading2"/>
        <w:rPr>
          <w:lang w:eastAsia="en-GB"/>
        </w:rPr>
      </w:pPr>
      <w:r w:rsidRPr="00664AAC">
        <w:rPr>
          <w:lang w:eastAsia="en-GB"/>
        </w:rPr>
        <w:t xml:space="preserve">The Vice-Chancellor is responsible for any severance payment to any member of staff earning less than £100,000, as defined in the Scheme of Delegation.  The Director of People Services is able to approve severance payments for staff of up to £50,000 countersigned by the Chief Officer </w:t>
      </w:r>
      <w:r>
        <w:rPr>
          <w:lang w:eastAsia="en-GB"/>
        </w:rPr>
        <w:t>(</w:t>
      </w:r>
      <w:r w:rsidRPr="00664AAC">
        <w:rPr>
          <w:lang w:eastAsia="en-GB"/>
        </w:rPr>
        <w:t>Resources</w:t>
      </w:r>
      <w:r>
        <w:rPr>
          <w:lang w:eastAsia="en-GB"/>
        </w:rPr>
        <w:t>)</w:t>
      </w:r>
      <w:r w:rsidRPr="00664AAC">
        <w:rPr>
          <w:lang w:eastAsia="en-GB"/>
        </w:rPr>
        <w:t xml:space="preserve">.  </w:t>
      </w:r>
    </w:p>
    <w:p w14:paraId="1629EE4D" w14:textId="77777777" w:rsidR="00092736" w:rsidRPr="00664AAC" w:rsidRDefault="00092736" w:rsidP="00092736">
      <w:pPr>
        <w:pStyle w:val="Heading2"/>
        <w:rPr>
          <w:lang w:eastAsia="en-GB"/>
        </w:rPr>
      </w:pPr>
      <w:r w:rsidRPr="00664AAC">
        <w:rPr>
          <w:lang w:eastAsia="en-GB"/>
        </w:rPr>
        <w:t xml:space="preserve">The Remuneration Committee and the Vice-Chancellor (as appropriate) will report any such severance payment arrangements for senior staff or for other staff where the payment is over £100,000, to the Board of Governors for noting purposes, following the conclusion of those arrangements. </w:t>
      </w:r>
      <w:r w:rsidRPr="00664AAC">
        <w:rPr>
          <w:rFonts w:eastAsia="Arial" w:cs="Arial"/>
          <w:sz w:val="22"/>
          <w:lang w:eastAsia="en-GB"/>
        </w:rPr>
        <w:t xml:space="preserve"> </w:t>
      </w:r>
    </w:p>
    <w:p w14:paraId="61A7C9ED" w14:textId="77777777" w:rsidR="00092736" w:rsidRPr="00664AAC" w:rsidRDefault="00092736" w:rsidP="004449FF">
      <w:pPr>
        <w:pStyle w:val="Heading1"/>
        <w:rPr>
          <w:u w:color="000000"/>
          <w:lang w:eastAsia="en-GB"/>
        </w:rPr>
      </w:pPr>
      <w:bookmarkStart w:id="9" w:name="_Toc170308156"/>
      <w:r w:rsidRPr="004449FF">
        <w:t>Principles</w:t>
      </w:r>
      <w:bookmarkEnd w:id="9"/>
      <w:r w:rsidRPr="00664AAC">
        <w:rPr>
          <w:u w:color="000000"/>
          <w:lang w:eastAsia="en-GB"/>
        </w:rPr>
        <w:t xml:space="preserve"> </w:t>
      </w:r>
    </w:p>
    <w:p w14:paraId="7CFA6DA6" w14:textId="77777777" w:rsidR="00092736" w:rsidRPr="00664AAC" w:rsidRDefault="00092736" w:rsidP="00092736">
      <w:pPr>
        <w:pStyle w:val="Heading2"/>
        <w:rPr>
          <w:lang w:eastAsia="en-GB"/>
        </w:rPr>
      </w:pPr>
      <w:bookmarkStart w:id="10" w:name="_Ref131667861"/>
      <w:r w:rsidRPr="00664AAC">
        <w:rPr>
          <w:lang w:eastAsia="en-GB"/>
        </w:rPr>
        <w:t>In negotiating severance payment terms, the Remuneration Committee and the Vice-Chancellor (as appropriate) must have regard to the following principles:</w:t>
      </w:r>
      <w:bookmarkEnd w:id="10"/>
      <w:r w:rsidRPr="00664AAC">
        <w:rPr>
          <w:lang w:eastAsia="en-GB"/>
        </w:rPr>
        <w:t xml:space="preserve"> </w:t>
      </w:r>
    </w:p>
    <w:p w14:paraId="2E4D705E" w14:textId="77777777" w:rsidR="00092736" w:rsidRPr="00664AAC" w:rsidRDefault="00092736" w:rsidP="00092736">
      <w:pPr>
        <w:pStyle w:val="Heading3"/>
        <w:rPr>
          <w:lang w:eastAsia="en-GB"/>
        </w:rPr>
      </w:pPr>
      <w:r w:rsidRPr="00664AAC">
        <w:rPr>
          <w:lang w:eastAsia="en-GB"/>
        </w:rPr>
        <w:t xml:space="preserve">Any ex-gratia payment must be justifiable by “value for money” considerations </w:t>
      </w:r>
    </w:p>
    <w:p w14:paraId="6BDC91C0" w14:textId="77777777" w:rsidR="00092736" w:rsidRPr="00313926" w:rsidRDefault="00092736" w:rsidP="00092736">
      <w:pPr>
        <w:pStyle w:val="Heading3"/>
        <w:rPr>
          <w:lang w:eastAsia="en-GB"/>
        </w:rPr>
      </w:pPr>
      <w:r w:rsidRPr="00664AAC">
        <w:rPr>
          <w:lang w:eastAsia="en-GB"/>
        </w:rPr>
        <w:t xml:space="preserve">“value for money” considerations means: </w:t>
      </w:r>
    </w:p>
    <w:p w14:paraId="07D05728" w14:textId="77777777" w:rsidR="00092736" w:rsidRPr="00664AAC" w:rsidRDefault="00092736" w:rsidP="00092736">
      <w:pPr>
        <w:pStyle w:val="Heading4"/>
        <w:rPr>
          <w:lang w:eastAsia="en-GB"/>
        </w:rPr>
      </w:pPr>
      <w:r w:rsidRPr="00664AAC">
        <w:rPr>
          <w:lang w:eastAsia="en-GB"/>
        </w:rPr>
        <w:t xml:space="preserve">facilitating a change which, whether in money terms or otherwise and whether realisable in the short term or otherwise, will, in the opinion of the Remuneration Committee or the Vice-Chancellor (as appropriate), realise a significant benefit for the University and/or </w:t>
      </w:r>
    </w:p>
    <w:p w14:paraId="5EAC5C4A" w14:textId="77777777" w:rsidR="00092736" w:rsidRPr="00313926" w:rsidRDefault="00092736" w:rsidP="00092736">
      <w:pPr>
        <w:pStyle w:val="Heading4"/>
        <w:rPr>
          <w:lang w:eastAsia="en-GB"/>
        </w:rPr>
      </w:pPr>
      <w:r w:rsidRPr="00664AAC">
        <w:rPr>
          <w:lang w:eastAsia="en-GB"/>
        </w:rPr>
        <w:t>extinguishing a risk or potential risk of successful litigation against the University.</w:t>
      </w:r>
    </w:p>
    <w:p w14:paraId="155D7D05" w14:textId="77777777" w:rsidR="00092736" w:rsidRPr="00313926" w:rsidRDefault="00092736" w:rsidP="00092736">
      <w:pPr>
        <w:pStyle w:val="Heading3"/>
        <w:rPr>
          <w:lang w:eastAsia="en-GB"/>
        </w:rPr>
      </w:pPr>
      <w:bookmarkStart w:id="11" w:name="_Ref131667815"/>
      <w:r w:rsidRPr="00664AAC">
        <w:rPr>
          <w:lang w:eastAsia="en-GB"/>
        </w:rPr>
        <w:t>ex gratia payments will not be made:</w:t>
      </w:r>
      <w:bookmarkEnd w:id="11"/>
      <w:r w:rsidRPr="00664AAC">
        <w:rPr>
          <w:lang w:eastAsia="en-GB"/>
        </w:rPr>
        <w:t xml:space="preserve"> </w:t>
      </w:r>
    </w:p>
    <w:p w14:paraId="3E91DF24" w14:textId="77777777" w:rsidR="00092736" w:rsidRPr="00664AAC" w:rsidRDefault="00092736" w:rsidP="00092736">
      <w:pPr>
        <w:pStyle w:val="Heading4"/>
        <w:rPr>
          <w:lang w:eastAsia="en-GB"/>
        </w:rPr>
      </w:pPr>
      <w:r w:rsidRPr="00664AAC">
        <w:rPr>
          <w:lang w:eastAsia="en-GB"/>
        </w:rPr>
        <w:t xml:space="preserve">where the individual has or may have committed gross misconduct </w:t>
      </w:r>
    </w:p>
    <w:p w14:paraId="7D2A3600" w14:textId="77777777" w:rsidR="00092736" w:rsidRPr="00664AAC" w:rsidRDefault="00092736" w:rsidP="00092736">
      <w:pPr>
        <w:pStyle w:val="Heading4"/>
        <w:rPr>
          <w:lang w:eastAsia="en-GB"/>
        </w:rPr>
      </w:pPr>
      <w:r w:rsidRPr="00664AAC">
        <w:rPr>
          <w:lang w:eastAsia="en-GB"/>
        </w:rPr>
        <w:t xml:space="preserve">where the individual’s performance has been identified, by means of the relevant appraisal system or other formal procedure, as being poor </w:t>
      </w:r>
    </w:p>
    <w:p w14:paraId="57669A9B" w14:textId="77777777" w:rsidR="00092736" w:rsidRPr="00664AAC" w:rsidRDefault="00092736" w:rsidP="00092736">
      <w:pPr>
        <w:pStyle w:val="Heading4"/>
        <w:rPr>
          <w:lang w:eastAsia="en-GB"/>
        </w:rPr>
      </w:pPr>
      <w:r w:rsidRPr="00664AAC">
        <w:rPr>
          <w:lang w:eastAsia="en-GB"/>
        </w:rPr>
        <w:t xml:space="preserve">in order to compensate the individual for any hurt or distress suffered as a result of the termination of their employment, and </w:t>
      </w:r>
    </w:p>
    <w:p w14:paraId="164608D9" w14:textId="77777777" w:rsidR="00092736" w:rsidRPr="00313926" w:rsidRDefault="00092736" w:rsidP="00092736">
      <w:pPr>
        <w:pStyle w:val="Heading4"/>
        <w:rPr>
          <w:lang w:eastAsia="en-GB"/>
        </w:rPr>
      </w:pPr>
      <w:r w:rsidRPr="00664AAC">
        <w:rPr>
          <w:lang w:eastAsia="en-GB"/>
        </w:rPr>
        <w:t xml:space="preserve">in order to reward the individual for services rendered to the University </w:t>
      </w:r>
      <w:r w:rsidRPr="00313926">
        <w:rPr>
          <w:rFonts w:eastAsia="Arial" w:cs="Arial"/>
          <w:sz w:val="22"/>
          <w:lang w:eastAsia="en-GB"/>
        </w:rPr>
        <w:t xml:space="preserve"> </w:t>
      </w:r>
    </w:p>
    <w:p w14:paraId="17CE2CD3" w14:textId="77777777" w:rsidR="00092736" w:rsidRPr="00313926" w:rsidRDefault="00092736" w:rsidP="00092736">
      <w:pPr>
        <w:pStyle w:val="Heading3"/>
        <w:rPr>
          <w:lang w:eastAsia="en-GB"/>
        </w:rPr>
      </w:pPr>
      <w:r w:rsidRPr="00664AAC">
        <w:rPr>
          <w:lang w:eastAsia="en-GB"/>
        </w:rPr>
        <w:t xml:space="preserve">The total value of payments under a severance agreement will not exceed a year’s salary. Any proposal to deviate from this principle must be referred to the Board of Governors for approval.    </w:t>
      </w:r>
    </w:p>
    <w:p w14:paraId="5B9A52C6" w14:textId="77777777" w:rsidR="00092736" w:rsidRPr="00664AAC" w:rsidRDefault="00092736" w:rsidP="00092736">
      <w:pPr>
        <w:pStyle w:val="Heading2"/>
        <w:rPr>
          <w:lang w:eastAsia="en-GB"/>
        </w:rPr>
      </w:pPr>
      <w:r w:rsidRPr="00664AAC">
        <w:rPr>
          <w:lang w:eastAsia="en-GB"/>
        </w:rPr>
        <w:t xml:space="preserve">An individual may be permitted to retire early, within the provisions of all relevant legislation, provided that: </w:t>
      </w:r>
    </w:p>
    <w:p w14:paraId="4A6651A4" w14:textId="77777777" w:rsidR="00092736" w:rsidRPr="00664AAC" w:rsidRDefault="00092736" w:rsidP="00092736">
      <w:pPr>
        <w:pStyle w:val="Heading3"/>
        <w:rPr>
          <w:lang w:eastAsia="en-GB"/>
        </w:rPr>
      </w:pPr>
      <w:r w:rsidRPr="00664AAC">
        <w:rPr>
          <w:lang w:eastAsia="en-GB"/>
        </w:rPr>
        <w:t xml:space="preserve">the individual is permitted to do so by the rules, from time to time, of the Teachers’ Pension Scheme (“TPS”) or the Local Government Pension Scheme (“LGPS”) or the University Superannuation Scheme (“USS”) (as appropriate) </w:t>
      </w:r>
    </w:p>
    <w:p w14:paraId="5256E701" w14:textId="77777777" w:rsidR="00092736" w:rsidRPr="00664AAC" w:rsidRDefault="00092736" w:rsidP="00092736">
      <w:pPr>
        <w:pStyle w:val="Heading3"/>
        <w:rPr>
          <w:lang w:eastAsia="en-GB"/>
        </w:rPr>
      </w:pPr>
      <w:r w:rsidRPr="00664AAC">
        <w:rPr>
          <w:lang w:eastAsia="en-GB"/>
        </w:rPr>
        <w:t xml:space="preserve">any costs to the University attributable to the decision to permit the individual to take early retirement: </w:t>
      </w:r>
    </w:p>
    <w:p w14:paraId="6AE8F6D0" w14:textId="77777777" w:rsidR="00092736" w:rsidRPr="00664AAC" w:rsidRDefault="00092736" w:rsidP="00092736">
      <w:pPr>
        <w:pStyle w:val="Heading4"/>
        <w:rPr>
          <w:lang w:eastAsia="en-GB"/>
        </w:rPr>
      </w:pPr>
      <w:r w:rsidRPr="00664AAC">
        <w:rPr>
          <w:lang w:eastAsia="en-GB"/>
        </w:rPr>
        <w:lastRenderedPageBreak/>
        <w:t xml:space="preserve">can be justified by value for money considerations (as defined above), and </w:t>
      </w:r>
    </w:p>
    <w:p w14:paraId="06518785" w14:textId="77777777" w:rsidR="00092736" w:rsidRPr="00664AAC" w:rsidRDefault="00092736" w:rsidP="00092736">
      <w:pPr>
        <w:pStyle w:val="Heading4"/>
        <w:rPr>
          <w:lang w:eastAsia="en-GB"/>
        </w:rPr>
      </w:pPr>
      <w:r w:rsidRPr="00664AAC">
        <w:rPr>
          <w:lang w:eastAsia="en-GB"/>
        </w:rPr>
        <w:t xml:space="preserve">none of the scenarios in </w:t>
      </w:r>
      <w:r w:rsidRPr="00313926">
        <w:rPr>
          <w:lang w:eastAsia="en-GB"/>
        </w:rPr>
        <w:t>paragraph</w:t>
      </w:r>
      <w:r>
        <w:rPr>
          <w:lang w:eastAsia="en-GB"/>
        </w:rPr>
        <w:t xml:space="preserve"> </w:t>
      </w:r>
      <w:r>
        <w:rPr>
          <w:lang w:eastAsia="en-GB"/>
        </w:rPr>
        <w:fldChar w:fldCharType="begin"/>
      </w:r>
      <w:r>
        <w:rPr>
          <w:lang w:eastAsia="en-GB"/>
        </w:rPr>
        <w:instrText xml:space="preserve"> REF _Ref131667815 \r \h </w:instrText>
      </w:r>
      <w:r>
        <w:rPr>
          <w:lang w:eastAsia="en-GB"/>
        </w:rPr>
      </w:r>
      <w:r>
        <w:rPr>
          <w:lang w:eastAsia="en-GB"/>
        </w:rPr>
        <w:fldChar w:fldCharType="separate"/>
      </w:r>
      <w:r>
        <w:rPr>
          <w:lang w:eastAsia="en-GB"/>
        </w:rPr>
        <w:t>3.1.3</w:t>
      </w:r>
      <w:r>
        <w:rPr>
          <w:lang w:eastAsia="en-GB"/>
        </w:rPr>
        <w:fldChar w:fldCharType="end"/>
      </w:r>
      <w:r w:rsidRPr="00664AAC">
        <w:rPr>
          <w:lang w:eastAsia="en-GB"/>
        </w:rPr>
        <w:t xml:space="preserve"> above applies.</w:t>
      </w:r>
    </w:p>
    <w:p w14:paraId="00C8B9D5" w14:textId="77777777" w:rsidR="00092736" w:rsidRPr="00664AAC" w:rsidRDefault="00092736" w:rsidP="00092736">
      <w:pPr>
        <w:pStyle w:val="Heading3"/>
        <w:rPr>
          <w:lang w:eastAsia="en-GB"/>
        </w:rPr>
      </w:pPr>
      <w:r w:rsidRPr="00664AAC">
        <w:rPr>
          <w:lang w:eastAsia="en-GB"/>
        </w:rPr>
        <w:t xml:space="preserve">if the individual’s pensionable service in the TPS, LGPS or USS (as appropriate) is to be voluntarily enhanced by the University: </w:t>
      </w:r>
    </w:p>
    <w:p w14:paraId="2F8DE2EB" w14:textId="77777777" w:rsidR="00092736" w:rsidRPr="00664AAC" w:rsidRDefault="00092736" w:rsidP="00092736">
      <w:pPr>
        <w:pStyle w:val="Heading4"/>
        <w:rPr>
          <w:lang w:eastAsia="en-GB"/>
        </w:rPr>
      </w:pPr>
      <w:r w:rsidRPr="00664AAC">
        <w:rPr>
          <w:lang w:eastAsia="en-GB"/>
        </w:rPr>
        <w:t xml:space="preserve">that enhancement does not exceed the maximum enhancement permissible under the rules, from time to time, of the relevant Scheme;   </w:t>
      </w:r>
    </w:p>
    <w:p w14:paraId="7147103C" w14:textId="77777777" w:rsidR="00092736" w:rsidRPr="00664AAC" w:rsidRDefault="00092736" w:rsidP="00092736">
      <w:pPr>
        <w:pStyle w:val="Heading4"/>
        <w:rPr>
          <w:lang w:eastAsia="en-GB"/>
        </w:rPr>
      </w:pPr>
      <w:r w:rsidRPr="00664AAC">
        <w:rPr>
          <w:lang w:eastAsia="en-GB"/>
        </w:rPr>
        <w:t xml:space="preserve">each such decision to grant an enhancement is judged: </w:t>
      </w:r>
    </w:p>
    <w:p w14:paraId="4E46C259" w14:textId="77777777" w:rsidR="00092736" w:rsidRPr="00664AAC" w:rsidRDefault="00092736" w:rsidP="00092736">
      <w:pPr>
        <w:pStyle w:val="Heading5"/>
        <w:numPr>
          <w:ilvl w:val="5"/>
          <w:numId w:val="23"/>
        </w:numPr>
        <w:tabs>
          <w:tab w:val="num" w:pos="360"/>
        </w:tabs>
        <w:ind w:left="1152" w:hanging="1152"/>
        <w:rPr>
          <w:lang w:eastAsia="en-GB"/>
        </w:rPr>
      </w:pPr>
      <w:r w:rsidRPr="00664AAC">
        <w:rPr>
          <w:lang w:eastAsia="en-GB"/>
        </w:rPr>
        <w:t xml:space="preserve">on its own merits; </w:t>
      </w:r>
    </w:p>
    <w:p w14:paraId="0B9AABD3" w14:textId="77777777" w:rsidR="00092736" w:rsidRPr="00664AAC" w:rsidRDefault="00092736" w:rsidP="00092736">
      <w:pPr>
        <w:pStyle w:val="Heading5"/>
        <w:numPr>
          <w:ilvl w:val="5"/>
          <w:numId w:val="23"/>
        </w:numPr>
        <w:tabs>
          <w:tab w:val="num" w:pos="360"/>
        </w:tabs>
        <w:ind w:left="1152" w:hanging="1152"/>
        <w:rPr>
          <w:lang w:eastAsia="en-GB"/>
        </w:rPr>
      </w:pPr>
      <w:r w:rsidRPr="00664AAC">
        <w:rPr>
          <w:lang w:eastAsia="en-GB"/>
        </w:rPr>
        <w:t xml:space="preserve">by reference to the University’s then current financial position, and </w:t>
      </w:r>
    </w:p>
    <w:p w14:paraId="47BE68D0" w14:textId="77777777" w:rsidR="00092736" w:rsidRPr="00664AAC" w:rsidRDefault="00092736" w:rsidP="00092736">
      <w:pPr>
        <w:pStyle w:val="Heading5"/>
        <w:numPr>
          <w:ilvl w:val="5"/>
          <w:numId w:val="23"/>
        </w:numPr>
        <w:tabs>
          <w:tab w:val="num" w:pos="360"/>
        </w:tabs>
        <w:ind w:left="1152" w:hanging="1152"/>
        <w:rPr>
          <w:lang w:eastAsia="en-GB"/>
        </w:rPr>
      </w:pPr>
      <w:r w:rsidRPr="00664AAC">
        <w:rPr>
          <w:lang w:eastAsia="en-GB"/>
        </w:rPr>
        <w:t xml:space="preserve">not by reference to past custom and practice. </w:t>
      </w:r>
    </w:p>
    <w:p w14:paraId="6EC7BF03" w14:textId="77777777" w:rsidR="00092736" w:rsidRPr="00664AAC" w:rsidRDefault="00092736" w:rsidP="00092736">
      <w:pPr>
        <w:pStyle w:val="Heading3"/>
        <w:rPr>
          <w:lang w:eastAsia="en-GB"/>
        </w:rPr>
      </w:pPr>
      <w:r w:rsidRPr="00664AAC">
        <w:rPr>
          <w:lang w:eastAsia="en-GB"/>
        </w:rPr>
        <w:t xml:space="preserve">the requirements </w:t>
      </w:r>
      <w:r w:rsidRPr="00374661">
        <w:rPr>
          <w:lang w:eastAsia="en-GB"/>
        </w:rPr>
        <w:t xml:space="preserve">of paragraph </w:t>
      </w:r>
      <w:r>
        <w:rPr>
          <w:lang w:eastAsia="en-GB"/>
        </w:rPr>
        <w:fldChar w:fldCharType="begin"/>
      </w:r>
      <w:r>
        <w:rPr>
          <w:lang w:eastAsia="en-GB"/>
        </w:rPr>
        <w:instrText xml:space="preserve"> REF _Ref131667861 \r \h </w:instrText>
      </w:r>
      <w:r>
        <w:rPr>
          <w:lang w:eastAsia="en-GB"/>
        </w:rPr>
      </w:r>
      <w:r>
        <w:rPr>
          <w:lang w:eastAsia="en-GB"/>
        </w:rPr>
        <w:fldChar w:fldCharType="separate"/>
      </w:r>
      <w:r>
        <w:rPr>
          <w:lang w:eastAsia="en-GB"/>
        </w:rPr>
        <w:t>3.1</w:t>
      </w:r>
      <w:r>
        <w:rPr>
          <w:lang w:eastAsia="en-GB"/>
        </w:rPr>
        <w:fldChar w:fldCharType="end"/>
      </w:r>
      <w:r w:rsidRPr="00374661">
        <w:rPr>
          <w:lang w:eastAsia="en-GB"/>
        </w:rPr>
        <w:t xml:space="preserve"> above</w:t>
      </w:r>
      <w:r w:rsidRPr="00664AAC">
        <w:rPr>
          <w:lang w:eastAsia="en-GB"/>
        </w:rPr>
        <w:t xml:space="preserve"> are observed. </w:t>
      </w:r>
    </w:p>
    <w:p w14:paraId="7FF7D2EB" w14:textId="77777777" w:rsidR="00092736" w:rsidRPr="00664AAC" w:rsidRDefault="00092736" w:rsidP="00092736">
      <w:pPr>
        <w:pStyle w:val="Heading2"/>
        <w:rPr>
          <w:bCs/>
          <w:iCs/>
          <w:lang w:eastAsia="en-GB"/>
        </w:rPr>
      </w:pPr>
      <w:r w:rsidRPr="00664AAC">
        <w:rPr>
          <w:bCs/>
          <w:iCs/>
          <w:lang w:eastAsia="en-GB"/>
        </w:rPr>
        <w:t xml:space="preserve">Detailed proposals on the terms of a severance payment are to be endorsed by the Remuneration Committee, its nominated representative or the Vice-Chancellor, as the case may be, before presentation to the individual concerned. </w:t>
      </w:r>
      <w:r w:rsidRPr="00664AAC">
        <w:rPr>
          <w:rFonts w:eastAsia="Arial" w:cs="Arial"/>
          <w:b/>
          <w:sz w:val="22"/>
          <w:lang w:eastAsia="en-GB"/>
        </w:rPr>
        <w:t xml:space="preserve"> </w:t>
      </w:r>
    </w:p>
    <w:p w14:paraId="616372E3" w14:textId="77777777" w:rsidR="00092736" w:rsidRPr="004449FF" w:rsidRDefault="00092736" w:rsidP="004449FF">
      <w:pPr>
        <w:pStyle w:val="Heading1"/>
      </w:pPr>
      <w:bookmarkStart w:id="12" w:name="_Toc170308157"/>
      <w:r w:rsidRPr="004449FF">
        <w:t>Professional Advice</w:t>
      </w:r>
      <w:bookmarkEnd w:id="12"/>
    </w:p>
    <w:p w14:paraId="3F3B4F7F" w14:textId="77777777" w:rsidR="00092736" w:rsidRPr="00664AAC" w:rsidRDefault="00092736" w:rsidP="00092736">
      <w:pPr>
        <w:pStyle w:val="Heading2"/>
        <w:rPr>
          <w:lang w:eastAsia="en-GB"/>
        </w:rPr>
      </w:pPr>
      <w:r w:rsidRPr="00664AAC">
        <w:rPr>
          <w:lang w:eastAsia="en-GB"/>
        </w:rPr>
        <w:t xml:space="preserve">The Remuneration Committee and the Vice-Chancellor (as appropriate) must, before agreeing any severance payment with a senior staff member, obtain written professional advice in respect of the legal, financial and compliance aspects of the proposed arrangements.  Compliance advice is to be obtained from the University’s External Auditors. </w:t>
      </w:r>
    </w:p>
    <w:p w14:paraId="61659D97" w14:textId="77777777" w:rsidR="00092736" w:rsidRPr="004449FF" w:rsidRDefault="00092736" w:rsidP="004449FF">
      <w:pPr>
        <w:pStyle w:val="Heading1"/>
      </w:pPr>
      <w:bookmarkStart w:id="13" w:name="_Toc170308158"/>
      <w:r w:rsidRPr="004449FF">
        <w:t>Review</w:t>
      </w:r>
      <w:bookmarkEnd w:id="13"/>
      <w:r w:rsidRPr="004449FF">
        <w:t xml:space="preserve"> </w:t>
      </w:r>
    </w:p>
    <w:p w14:paraId="125B9D9F" w14:textId="77777777" w:rsidR="00092736" w:rsidRPr="00664AAC" w:rsidRDefault="00092736" w:rsidP="00092736">
      <w:pPr>
        <w:pStyle w:val="Heading2"/>
        <w:rPr>
          <w:lang w:eastAsia="en-GB"/>
        </w:rPr>
      </w:pPr>
      <w:r w:rsidRPr="00664AAC">
        <w:rPr>
          <w:lang w:eastAsia="en-GB"/>
        </w:rPr>
        <w:t xml:space="preserve">This policy will be reviewed following the conclusion of every severance payment arrangement for a member of senior staff and in any case at intervals of three years.  The review will be undertaken by the Remuneration Committee and changes approved by the Board of Governors. </w:t>
      </w:r>
    </w:p>
    <w:p w14:paraId="5FBAA896" w14:textId="77777777" w:rsidR="00092736" w:rsidRPr="00664AAC" w:rsidRDefault="00092736" w:rsidP="00092736">
      <w:pPr>
        <w:pStyle w:val="Heading2"/>
        <w:numPr>
          <w:ilvl w:val="0"/>
          <w:numId w:val="0"/>
        </w:numPr>
        <w:ind w:left="-288"/>
        <w:rPr>
          <w:szCs w:val="24"/>
          <w:lang w:eastAsia="en-GB"/>
        </w:rPr>
      </w:pPr>
    </w:p>
    <w:p w14:paraId="058DE4A3" w14:textId="16E27BCE" w:rsidR="00D52B06" w:rsidRPr="00596F9A" w:rsidRDefault="00092736" w:rsidP="00596F9A">
      <w:pPr>
        <w:rPr>
          <w:b/>
          <w:bCs/>
          <w:i/>
          <w:iCs/>
        </w:rPr>
      </w:pPr>
      <w:r w:rsidRPr="00596F9A">
        <w:rPr>
          <w:b/>
          <w:bCs/>
          <w:i/>
          <w:iCs/>
          <w:lang w:eastAsia="en-GB"/>
        </w:rPr>
        <w:t>Amended by the Board of Governors in July 2005, October 2007, July 2008, November 2015, October 2018, March 2022 and March 2023.</w:t>
      </w:r>
    </w:p>
    <w:sectPr w:rsidR="00D52B06" w:rsidRPr="00596F9A" w:rsidSect="00F20D28">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4D0D5" w14:textId="77777777" w:rsidR="00DA3132" w:rsidRDefault="00DA3132" w:rsidP="003B0CD4">
      <w:pPr>
        <w:spacing w:after="0" w:line="240" w:lineRule="auto"/>
      </w:pPr>
      <w:r>
        <w:separator/>
      </w:r>
    </w:p>
  </w:endnote>
  <w:endnote w:type="continuationSeparator" w:id="0">
    <w:p w14:paraId="343FB369" w14:textId="77777777" w:rsidR="00DA3132" w:rsidRDefault="00DA3132"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8F4EB" w14:textId="77777777" w:rsidR="00DA3132" w:rsidRDefault="00DA3132" w:rsidP="003B0CD4">
      <w:pPr>
        <w:spacing w:after="0" w:line="240" w:lineRule="auto"/>
      </w:pPr>
      <w:r>
        <w:separator/>
      </w:r>
    </w:p>
  </w:footnote>
  <w:footnote w:type="continuationSeparator" w:id="0">
    <w:p w14:paraId="139392B4" w14:textId="77777777" w:rsidR="00DA3132" w:rsidRDefault="00DA3132" w:rsidP="003B0CD4">
      <w:pPr>
        <w:spacing w:after="0" w:line="240" w:lineRule="auto"/>
      </w:pPr>
      <w:r>
        <w:continuationSeparator/>
      </w:r>
    </w:p>
  </w:footnote>
  <w:footnote w:id="1">
    <w:p w14:paraId="09B4443D" w14:textId="77777777" w:rsidR="00092736" w:rsidRDefault="00092736" w:rsidP="00092736">
      <w:pPr>
        <w:pStyle w:val="FootnoteText"/>
        <w:ind w:left="0" w:firstLine="0"/>
      </w:pPr>
      <w:r>
        <w:rPr>
          <w:rStyle w:val="FootnoteReference"/>
        </w:rPr>
        <w:footnoteRef/>
      </w:r>
      <w:r>
        <w:t xml:space="preserve"> The CUC Code states: “</w:t>
      </w:r>
      <w:r w:rsidRPr="00832A72">
        <w:t>institutions must meet their contractual obligations and be able to explain the reasons for any payments made. HEIs will need to carefully consider any advice that is available from regulators, together with detailed CUC advice. Remuneration Committees have specific responsibilities in this area – in particular, ensuring that contracts agreed with senior post holders are fair, reasonable, and justifiable and do not expose the institution to significant potential liabilities, for example by being able to explain notice periods of more than six months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356D26"/>
    <w:multiLevelType w:val="multilevel"/>
    <w:tmpl w:val="02AA94F8"/>
    <w:lvl w:ilvl="0">
      <w:start w:val="1"/>
      <w:numFmt w:val="decimal"/>
      <w:lvlText w:val="%1"/>
      <w:lvlJc w:val="left"/>
      <w:pPr>
        <w:ind w:left="-432" w:hanging="432"/>
      </w:pPr>
      <w:rPr>
        <w:rFonts w:ascii="Arial" w:eastAsiaTheme="majorEastAsia" w:hAnsi="Arial" w:cs="Arial" w:hint="default"/>
      </w:rPr>
    </w:lvl>
    <w:lvl w:ilvl="1">
      <w:start w:val="1"/>
      <w:numFmt w:val="decimal"/>
      <w:lvlText w:val="%1.%2"/>
      <w:lvlJc w:val="left"/>
      <w:pPr>
        <w:ind w:left="-288" w:hanging="576"/>
      </w:pPr>
      <w:rPr>
        <w:i w:val="0"/>
        <w:iCs w:val="0"/>
      </w:rPr>
    </w:lvl>
    <w:lvl w:ilvl="2">
      <w:start w:val="1"/>
      <w:numFmt w:val="decimal"/>
      <w:lvlText w:val="%1.%2.%3"/>
      <w:lvlJc w:val="left"/>
      <w:pPr>
        <w:ind w:left="-144" w:hanging="720"/>
      </w:pPr>
    </w:lvl>
    <w:lvl w:ilvl="3">
      <w:start w:val="1"/>
      <w:numFmt w:val="decimal"/>
      <w:lvlText w:val="%1.%2.%3.%4"/>
      <w:lvlJc w:val="left"/>
      <w:pPr>
        <w:ind w:left="0" w:hanging="864"/>
      </w:pPr>
    </w:lvl>
    <w:lvl w:ilvl="4">
      <w:start w:val="1"/>
      <w:numFmt w:val="bullet"/>
      <w:lvlText w:val=""/>
      <w:lvlJc w:val="left"/>
      <w:pPr>
        <w:ind w:left="-504" w:hanging="360"/>
      </w:pPr>
      <w:rPr>
        <w:rFonts w:ascii="Symbol" w:hAnsi="Symbol" w:hint="default"/>
      </w:rPr>
    </w:lvl>
    <w:lvl w:ilvl="5">
      <w:start w:val="1"/>
      <w:numFmt w:val="bullet"/>
      <w:lvlText w:val=""/>
      <w:lvlJc w:val="left"/>
      <w:pPr>
        <w:ind w:left="-504" w:hanging="360"/>
      </w:pPr>
      <w:rPr>
        <w:rFonts w:ascii="Symbol" w:hAnsi="Symbol" w:hint="default"/>
      </w:rPr>
    </w:lvl>
    <w:lvl w:ilvl="6">
      <w:start w:val="1"/>
      <w:numFmt w:val="decimal"/>
      <w:lvlText w:val="%1.%2.%3.%4.%5.%6.%7"/>
      <w:lvlJc w:val="left"/>
      <w:pPr>
        <w:ind w:left="432" w:hanging="1296"/>
      </w:pPr>
    </w:lvl>
    <w:lvl w:ilvl="7">
      <w:start w:val="1"/>
      <w:numFmt w:val="decimal"/>
      <w:lvlText w:val="%1.%2.%3.%4.%5.%6.%7.%8"/>
      <w:lvlJc w:val="left"/>
      <w:pPr>
        <w:ind w:left="576" w:hanging="1440"/>
      </w:pPr>
    </w:lvl>
    <w:lvl w:ilvl="8">
      <w:start w:val="1"/>
      <w:numFmt w:val="decimal"/>
      <w:lvlText w:val="%1.%2.%3.%4.%5.%6.%7.%8.%9"/>
      <w:lvlJc w:val="left"/>
      <w:pPr>
        <w:ind w:left="720" w:hanging="1584"/>
      </w:pPr>
    </w:lvl>
  </w:abstractNum>
  <w:abstractNum w:abstractNumId="1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1"/>
  </w:num>
  <w:num w:numId="2" w16cid:durableId="1082408052">
    <w:abstractNumId w:val="12"/>
  </w:num>
  <w:num w:numId="3" w16cid:durableId="63570723">
    <w:abstractNumId w:val="14"/>
  </w:num>
  <w:num w:numId="4" w16cid:durableId="1781295064">
    <w:abstractNumId w:val="17"/>
  </w:num>
  <w:num w:numId="5" w16cid:durableId="846555647">
    <w:abstractNumId w:val="13"/>
  </w:num>
  <w:num w:numId="6" w16cid:durableId="2010407432">
    <w:abstractNumId w:val="19"/>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6"/>
  </w:num>
  <w:num w:numId="19" w16cid:durableId="234585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0"/>
  </w:num>
  <w:num w:numId="21" w16cid:durableId="1423381323">
    <w:abstractNumId w:val="11"/>
  </w:num>
  <w:num w:numId="22" w16cid:durableId="1513687921">
    <w:abstractNumId w:val="15"/>
  </w:num>
  <w:num w:numId="23" w16cid:durableId="6154119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2736"/>
    <w:rsid w:val="0009597B"/>
    <w:rsid w:val="00096435"/>
    <w:rsid w:val="000D0B2C"/>
    <w:rsid w:val="000D23F4"/>
    <w:rsid w:val="000D3EF5"/>
    <w:rsid w:val="000E02A2"/>
    <w:rsid w:val="000F0838"/>
    <w:rsid w:val="000F13D6"/>
    <w:rsid w:val="000F3FF4"/>
    <w:rsid w:val="0012564B"/>
    <w:rsid w:val="00130BA3"/>
    <w:rsid w:val="0013304E"/>
    <w:rsid w:val="0013607D"/>
    <w:rsid w:val="001367FE"/>
    <w:rsid w:val="001420C5"/>
    <w:rsid w:val="0015225C"/>
    <w:rsid w:val="00161EDB"/>
    <w:rsid w:val="001753CB"/>
    <w:rsid w:val="00176A6B"/>
    <w:rsid w:val="001A52A7"/>
    <w:rsid w:val="001A7F68"/>
    <w:rsid w:val="001B6874"/>
    <w:rsid w:val="001C0E14"/>
    <w:rsid w:val="001D4929"/>
    <w:rsid w:val="001D589B"/>
    <w:rsid w:val="001D610B"/>
    <w:rsid w:val="001E196D"/>
    <w:rsid w:val="001E54DD"/>
    <w:rsid w:val="001F4CE8"/>
    <w:rsid w:val="00215570"/>
    <w:rsid w:val="00260329"/>
    <w:rsid w:val="00261178"/>
    <w:rsid w:val="00263057"/>
    <w:rsid w:val="00276D78"/>
    <w:rsid w:val="002A6626"/>
    <w:rsid w:val="002D1C9B"/>
    <w:rsid w:val="002E780F"/>
    <w:rsid w:val="002F3B5B"/>
    <w:rsid w:val="00310A76"/>
    <w:rsid w:val="003205F6"/>
    <w:rsid w:val="0032264E"/>
    <w:rsid w:val="00351D20"/>
    <w:rsid w:val="003526E4"/>
    <w:rsid w:val="00367508"/>
    <w:rsid w:val="00367FE6"/>
    <w:rsid w:val="00376449"/>
    <w:rsid w:val="003A7850"/>
    <w:rsid w:val="003B0CD4"/>
    <w:rsid w:val="003C2126"/>
    <w:rsid w:val="003E58E0"/>
    <w:rsid w:val="003E6D68"/>
    <w:rsid w:val="004003B1"/>
    <w:rsid w:val="00401B1F"/>
    <w:rsid w:val="00404B4F"/>
    <w:rsid w:val="00406B6E"/>
    <w:rsid w:val="00410F59"/>
    <w:rsid w:val="00424E11"/>
    <w:rsid w:val="00440F4E"/>
    <w:rsid w:val="004449FF"/>
    <w:rsid w:val="00446A3A"/>
    <w:rsid w:val="00454793"/>
    <w:rsid w:val="004618C7"/>
    <w:rsid w:val="004734A0"/>
    <w:rsid w:val="004A0911"/>
    <w:rsid w:val="004B20D0"/>
    <w:rsid w:val="004B628C"/>
    <w:rsid w:val="004D3778"/>
    <w:rsid w:val="004E6F06"/>
    <w:rsid w:val="004F3D8E"/>
    <w:rsid w:val="004F3E35"/>
    <w:rsid w:val="004F3F03"/>
    <w:rsid w:val="005005F9"/>
    <w:rsid w:val="005035F0"/>
    <w:rsid w:val="00530F92"/>
    <w:rsid w:val="00537AEA"/>
    <w:rsid w:val="00542772"/>
    <w:rsid w:val="0055051B"/>
    <w:rsid w:val="0056661F"/>
    <w:rsid w:val="00594A7A"/>
    <w:rsid w:val="00596F9A"/>
    <w:rsid w:val="005A5AD5"/>
    <w:rsid w:val="005C1286"/>
    <w:rsid w:val="005C6410"/>
    <w:rsid w:val="005D0B18"/>
    <w:rsid w:val="005D3DFB"/>
    <w:rsid w:val="0060088D"/>
    <w:rsid w:val="006377CE"/>
    <w:rsid w:val="00645C47"/>
    <w:rsid w:val="006649BD"/>
    <w:rsid w:val="00675991"/>
    <w:rsid w:val="00684ACE"/>
    <w:rsid w:val="00686B34"/>
    <w:rsid w:val="00697DFA"/>
    <w:rsid w:val="006A0052"/>
    <w:rsid w:val="006A4FE6"/>
    <w:rsid w:val="006B33D7"/>
    <w:rsid w:val="006D6498"/>
    <w:rsid w:val="006E3247"/>
    <w:rsid w:val="00700188"/>
    <w:rsid w:val="0071039C"/>
    <w:rsid w:val="00714650"/>
    <w:rsid w:val="007150F4"/>
    <w:rsid w:val="00722FD5"/>
    <w:rsid w:val="00734A37"/>
    <w:rsid w:val="00734D37"/>
    <w:rsid w:val="0077217C"/>
    <w:rsid w:val="007A0E66"/>
    <w:rsid w:val="007E37C8"/>
    <w:rsid w:val="007F447E"/>
    <w:rsid w:val="00803D56"/>
    <w:rsid w:val="00815A26"/>
    <w:rsid w:val="00824DDD"/>
    <w:rsid w:val="00844206"/>
    <w:rsid w:val="008467C2"/>
    <w:rsid w:val="00854E81"/>
    <w:rsid w:val="008569CD"/>
    <w:rsid w:val="008627B3"/>
    <w:rsid w:val="00862D95"/>
    <w:rsid w:val="00866360"/>
    <w:rsid w:val="008741DB"/>
    <w:rsid w:val="0088599E"/>
    <w:rsid w:val="008B6B62"/>
    <w:rsid w:val="008C551C"/>
    <w:rsid w:val="008C779B"/>
    <w:rsid w:val="008D23D2"/>
    <w:rsid w:val="00905E84"/>
    <w:rsid w:val="009359B4"/>
    <w:rsid w:val="00945CC4"/>
    <w:rsid w:val="00952ED2"/>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640A2"/>
    <w:rsid w:val="00A661AB"/>
    <w:rsid w:val="00A7691F"/>
    <w:rsid w:val="00A86085"/>
    <w:rsid w:val="00AD1CA8"/>
    <w:rsid w:val="00AE3499"/>
    <w:rsid w:val="00AE3A65"/>
    <w:rsid w:val="00AE6583"/>
    <w:rsid w:val="00AE7CC3"/>
    <w:rsid w:val="00B04A83"/>
    <w:rsid w:val="00B05A36"/>
    <w:rsid w:val="00B0766D"/>
    <w:rsid w:val="00B07D8D"/>
    <w:rsid w:val="00B1455D"/>
    <w:rsid w:val="00B36065"/>
    <w:rsid w:val="00B36605"/>
    <w:rsid w:val="00B528ED"/>
    <w:rsid w:val="00B54D4D"/>
    <w:rsid w:val="00B56CFE"/>
    <w:rsid w:val="00B6307B"/>
    <w:rsid w:val="00B65212"/>
    <w:rsid w:val="00B75892"/>
    <w:rsid w:val="00B82F2B"/>
    <w:rsid w:val="00B86E39"/>
    <w:rsid w:val="00B97063"/>
    <w:rsid w:val="00BA6C69"/>
    <w:rsid w:val="00BB74FF"/>
    <w:rsid w:val="00BC754F"/>
    <w:rsid w:val="00BC77B0"/>
    <w:rsid w:val="00C05B84"/>
    <w:rsid w:val="00C07B20"/>
    <w:rsid w:val="00C24D8F"/>
    <w:rsid w:val="00C252F3"/>
    <w:rsid w:val="00C30F00"/>
    <w:rsid w:val="00C341BE"/>
    <w:rsid w:val="00CA1500"/>
    <w:rsid w:val="00CA6EDB"/>
    <w:rsid w:val="00CB137C"/>
    <w:rsid w:val="00CB1F64"/>
    <w:rsid w:val="00CB5D44"/>
    <w:rsid w:val="00CD441C"/>
    <w:rsid w:val="00CD582A"/>
    <w:rsid w:val="00CE47D3"/>
    <w:rsid w:val="00CE608D"/>
    <w:rsid w:val="00D20880"/>
    <w:rsid w:val="00D46E50"/>
    <w:rsid w:val="00D52B06"/>
    <w:rsid w:val="00D5591B"/>
    <w:rsid w:val="00D6075A"/>
    <w:rsid w:val="00D9301C"/>
    <w:rsid w:val="00D973DB"/>
    <w:rsid w:val="00DA05EE"/>
    <w:rsid w:val="00DA3132"/>
    <w:rsid w:val="00DA60DF"/>
    <w:rsid w:val="00DE4000"/>
    <w:rsid w:val="00E212A3"/>
    <w:rsid w:val="00E374E4"/>
    <w:rsid w:val="00E53462"/>
    <w:rsid w:val="00E62C64"/>
    <w:rsid w:val="00E734C7"/>
    <w:rsid w:val="00E84FDC"/>
    <w:rsid w:val="00EA69F4"/>
    <w:rsid w:val="00EB1FAD"/>
    <w:rsid w:val="00EC2C8F"/>
    <w:rsid w:val="00ED02EC"/>
    <w:rsid w:val="00ED1374"/>
    <w:rsid w:val="00ED184E"/>
    <w:rsid w:val="00ED19D8"/>
    <w:rsid w:val="00ED61A0"/>
    <w:rsid w:val="00ED6897"/>
    <w:rsid w:val="00EE23DF"/>
    <w:rsid w:val="00EF69B5"/>
    <w:rsid w:val="00F07112"/>
    <w:rsid w:val="00F20D28"/>
    <w:rsid w:val="00F314A6"/>
    <w:rsid w:val="00F31A84"/>
    <w:rsid w:val="00F43239"/>
    <w:rsid w:val="00F618B5"/>
    <w:rsid w:val="00F74ABA"/>
    <w:rsid w:val="00F77E1A"/>
    <w:rsid w:val="00F84635"/>
    <w:rsid w:val="00F84C51"/>
    <w:rsid w:val="00F9449C"/>
    <w:rsid w:val="00FA30DC"/>
    <w:rsid w:val="00FC6E7A"/>
    <w:rsid w:val="00FD5E27"/>
    <w:rsid w:val="00FE2C3C"/>
    <w:rsid w:val="00FF3DEB"/>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1B1F"/>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01B1F"/>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01B1F"/>
    <w:pPr>
      <w:tabs>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FootnoteText">
    <w:name w:val="footnote text"/>
    <w:basedOn w:val="Normal"/>
    <w:link w:val="FootnoteTextChar"/>
    <w:uiPriority w:val="99"/>
    <w:semiHidden/>
    <w:unhideWhenUsed/>
    <w:rsid w:val="00092736"/>
    <w:pPr>
      <w:spacing w:after="0" w:line="240" w:lineRule="auto"/>
      <w:ind w:left="1177" w:right="1" w:hanging="10"/>
      <w:jc w:val="both"/>
    </w:pPr>
    <w:rPr>
      <w:rFonts w:eastAsia="Arial" w:cs="Arial"/>
      <w:color w:val="000000"/>
      <w:sz w:val="20"/>
      <w:szCs w:val="20"/>
      <w:lang w:eastAsia="en-GB"/>
    </w:rPr>
  </w:style>
  <w:style w:type="character" w:customStyle="1" w:styleId="FootnoteTextChar">
    <w:name w:val="Footnote Text Char"/>
    <w:basedOn w:val="DefaultParagraphFont"/>
    <w:link w:val="FootnoteText"/>
    <w:uiPriority w:val="99"/>
    <w:semiHidden/>
    <w:rsid w:val="00092736"/>
    <w:rPr>
      <w:rFonts w:ascii="Arial" w:eastAsia="Arial" w:hAnsi="Arial" w:cs="Arial"/>
      <w:color w:val="000000"/>
      <w:sz w:val="20"/>
      <w:szCs w:val="20"/>
      <w:lang w:eastAsia="en-GB"/>
    </w:rPr>
  </w:style>
  <w:style w:type="character" w:styleId="FootnoteReference">
    <w:name w:val="footnote reference"/>
    <w:basedOn w:val="DefaultParagraphFont"/>
    <w:uiPriority w:val="99"/>
    <w:semiHidden/>
    <w:unhideWhenUsed/>
    <w:rsid w:val="000927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D4079-0AEA-4A8D-AD32-B0567C0BF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2024-08-20T11:26:00Z</dcterms:created>
  <dcterms:modified xsi:type="dcterms:W3CDTF">2025-01-08T14:49:00Z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