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40B94" w14:textId="77777777" w:rsidR="00D955EA" w:rsidRPr="008233E2" w:rsidRDefault="00D955EA" w:rsidP="00D955EA">
      <w:pPr>
        <w:tabs>
          <w:tab w:val="left" w:pos="720"/>
          <w:tab w:val="left" w:pos="1440"/>
          <w:tab w:val="left" w:pos="2160"/>
        </w:tabs>
        <w:rPr>
          <w:rFonts w:cs="Arial"/>
          <w:b/>
          <w:sz w:val="28"/>
        </w:rPr>
      </w:pPr>
      <w:r w:rsidRPr="008233E2">
        <w:rPr>
          <w:b/>
          <w:noProof/>
          <w:lang w:eastAsia="en-GB"/>
        </w:rPr>
        <w:drawing>
          <wp:inline distT="0" distB="0" distL="0" distR="0" wp14:anchorId="3CD5E9DE" wp14:editId="1A481AD1">
            <wp:extent cx="3171825" cy="933450"/>
            <wp:effectExtent l="0" t="0" r="9525" b="0"/>
            <wp:docPr id="2" name="Picture 2" descr="A close-up of a logo&#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1825" cy="933450"/>
                    </a:xfrm>
                    <a:prstGeom prst="rect">
                      <a:avLst/>
                    </a:prstGeom>
                    <a:noFill/>
                    <a:ln>
                      <a:noFill/>
                    </a:ln>
                  </pic:spPr>
                </pic:pic>
              </a:graphicData>
            </a:graphic>
          </wp:inline>
        </w:drawing>
      </w:r>
    </w:p>
    <w:p w14:paraId="727D107E" w14:textId="77777777" w:rsidR="00D955EA" w:rsidRDefault="00D955EA" w:rsidP="00D955EA">
      <w:pPr>
        <w:tabs>
          <w:tab w:val="left" w:pos="720"/>
          <w:tab w:val="left" w:pos="1440"/>
          <w:tab w:val="left" w:pos="2160"/>
        </w:tabs>
        <w:rPr>
          <w:rFonts w:cs="Arial"/>
          <w:b/>
        </w:rPr>
      </w:pPr>
    </w:p>
    <w:p w14:paraId="42EEA8E9" w14:textId="77777777" w:rsidR="00D955EA" w:rsidRDefault="00D955EA" w:rsidP="00D955EA">
      <w:pPr>
        <w:tabs>
          <w:tab w:val="left" w:pos="720"/>
          <w:tab w:val="left" w:pos="1440"/>
          <w:tab w:val="left" w:pos="2160"/>
        </w:tabs>
        <w:rPr>
          <w:rFonts w:cs="Arial"/>
          <w:b/>
        </w:rPr>
      </w:pPr>
    </w:p>
    <w:p w14:paraId="58D2C54A" w14:textId="77777777" w:rsidR="00D955EA" w:rsidRDefault="00D955EA" w:rsidP="00D955EA">
      <w:pPr>
        <w:tabs>
          <w:tab w:val="left" w:pos="720"/>
          <w:tab w:val="left" w:pos="1440"/>
          <w:tab w:val="left" w:pos="2160"/>
        </w:tabs>
        <w:rPr>
          <w:rFonts w:cs="Arial"/>
          <w:b/>
        </w:rPr>
      </w:pPr>
    </w:p>
    <w:p w14:paraId="28E78F23" w14:textId="77777777" w:rsidR="00D955EA" w:rsidRPr="008233E2" w:rsidRDefault="00D955EA" w:rsidP="00D955EA">
      <w:pPr>
        <w:tabs>
          <w:tab w:val="left" w:pos="720"/>
          <w:tab w:val="left" w:pos="1440"/>
          <w:tab w:val="left" w:pos="2160"/>
        </w:tabs>
        <w:rPr>
          <w:rFonts w:cs="Arial"/>
          <w:b/>
        </w:rPr>
      </w:pPr>
    </w:p>
    <w:p w14:paraId="566AF0BA" w14:textId="77777777" w:rsidR="00D955EA" w:rsidRPr="008233E2" w:rsidRDefault="00D955EA" w:rsidP="00D955EA">
      <w:pPr>
        <w:tabs>
          <w:tab w:val="left" w:pos="720"/>
          <w:tab w:val="left" w:pos="1440"/>
          <w:tab w:val="left" w:pos="2160"/>
        </w:tabs>
        <w:rPr>
          <w:rFonts w:cs="Arial"/>
          <w:b/>
          <w:sz w:val="20"/>
          <w:szCs w:val="20"/>
        </w:rPr>
      </w:pPr>
      <w:r w:rsidRPr="008233E2">
        <w:rPr>
          <w:rFonts w:cs="Times New Roman"/>
          <w:noProof/>
          <w:sz w:val="24"/>
          <w:szCs w:val="24"/>
          <w:lang w:eastAsia="en-GB"/>
        </w:rPr>
        <mc:AlternateContent>
          <mc:Choice Requires="wps">
            <w:drawing>
              <wp:anchor distT="0" distB="0" distL="114300" distR="114300" simplePos="0" relativeHeight="251659264" behindDoc="0" locked="0" layoutInCell="1" allowOverlap="1" wp14:anchorId="5CB793C9" wp14:editId="5B3992C0">
                <wp:simplePos x="0" y="0"/>
                <wp:positionH relativeFrom="column">
                  <wp:posOffset>-123190</wp:posOffset>
                </wp:positionH>
                <wp:positionV relativeFrom="paragraph">
                  <wp:posOffset>26035</wp:posOffset>
                </wp:positionV>
                <wp:extent cx="6004560" cy="12700"/>
                <wp:effectExtent l="19685" t="26670" r="24130" b="27305"/>
                <wp:wrapNone/>
                <wp:docPr id="4" name="Freeform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4560" cy="12700"/>
                        </a:xfrm>
                        <a:custGeom>
                          <a:avLst/>
                          <a:gdLst>
                            <a:gd name="T0" fmla="*/ 0 w 9456"/>
                            <a:gd name="T1" fmla="*/ 0 h 20"/>
                            <a:gd name="T2" fmla="*/ 2147483647 w 9456"/>
                            <a:gd name="T3" fmla="*/ 8064500 h 20"/>
                            <a:gd name="T4" fmla="*/ 0 60000 65536"/>
                            <a:gd name="T5" fmla="*/ 0 60000 65536"/>
                          </a:gdLst>
                          <a:ahLst/>
                          <a:cxnLst>
                            <a:cxn ang="T4">
                              <a:pos x="T0" y="T1"/>
                            </a:cxn>
                            <a:cxn ang="T5">
                              <a:pos x="T2" y="T3"/>
                            </a:cxn>
                          </a:cxnLst>
                          <a:rect l="0" t="0" r="r" b="b"/>
                          <a:pathLst>
                            <a:path w="9456" h="20">
                              <a:moveTo>
                                <a:pt x="0" y="0"/>
                              </a:moveTo>
                              <a:lnTo>
                                <a:pt x="9456" y="2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32DD5B" id="Freeform 4"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pt,2.05pt,463.1pt,3.05pt" coordsize="94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" filled="f" strokeweight="3pt">
                <v:path arrowok="t" o:connecttype="custom" o:connectlocs="0,0;2147483646,2147483646" o:connectangles="0,0"/>
              </v:polyline>
            </w:pict>
          </mc:Fallback>
        </mc:AlternateContent>
      </w:r>
      <w:r w:rsidRPr="008233E2">
        <w:rPr>
          <w:rFonts w:cs="Arial"/>
          <w:b/>
          <w:sz w:val="52"/>
        </w:rPr>
        <w:t xml:space="preserve"> </w:t>
      </w:r>
    </w:p>
    <w:p w14:paraId="5FA2068E" w14:textId="77777777" w:rsidR="00D955EA" w:rsidRPr="008233E2" w:rsidRDefault="00D955EA" w:rsidP="00D955EA">
      <w:pPr>
        <w:tabs>
          <w:tab w:val="left" w:pos="720"/>
          <w:tab w:val="left" w:pos="1440"/>
          <w:tab w:val="left" w:pos="2160"/>
        </w:tabs>
        <w:jc w:val="center"/>
        <w:rPr>
          <w:rFonts w:cs="Arial"/>
          <w:b/>
        </w:rPr>
      </w:pPr>
      <w:r>
        <w:rPr>
          <w:rFonts w:cs="Arial"/>
          <w:b/>
          <w:sz w:val="52"/>
        </w:rPr>
        <w:t xml:space="preserve">Risk Management Policy </w:t>
      </w:r>
    </w:p>
    <w:p w14:paraId="65E26082" w14:textId="77777777" w:rsidR="00D955EA" w:rsidRPr="008233E2" w:rsidRDefault="00D955EA" w:rsidP="00D955EA">
      <w:pPr>
        <w:tabs>
          <w:tab w:val="left" w:pos="720"/>
          <w:tab w:val="left" w:pos="1440"/>
          <w:tab w:val="left" w:pos="2160"/>
        </w:tabs>
        <w:rPr>
          <w:rFonts w:cs="Arial"/>
          <w:b/>
        </w:rPr>
      </w:pPr>
      <w:r w:rsidRPr="008233E2">
        <w:rPr>
          <w:rFonts w:cs="Times New Roman"/>
          <w:noProof/>
          <w:lang w:eastAsia="en-GB"/>
        </w:rPr>
        <mc:AlternateContent>
          <mc:Choice Requires="wps">
            <w:drawing>
              <wp:anchor distT="0" distB="0" distL="114300" distR="114300" simplePos="0" relativeHeight="251660288" behindDoc="0" locked="0" layoutInCell="1" allowOverlap="1" wp14:anchorId="5DDE2E97" wp14:editId="4ABFACE3">
                <wp:simplePos x="0" y="0"/>
                <wp:positionH relativeFrom="column">
                  <wp:posOffset>-132715</wp:posOffset>
                </wp:positionH>
                <wp:positionV relativeFrom="paragraph">
                  <wp:posOffset>219710</wp:posOffset>
                </wp:positionV>
                <wp:extent cx="6014085" cy="3175"/>
                <wp:effectExtent l="19685" t="21590" r="24130" b="22860"/>
                <wp:wrapNone/>
                <wp:docPr id="1" name="Freefor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4085" cy="3175"/>
                        </a:xfrm>
                        <a:custGeom>
                          <a:avLst/>
                          <a:gdLst>
                            <a:gd name="T0" fmla="*/ 0 w 9471"/>
                            <a:gd name="T1" fmla="*/ 0 h 5"/>
                            <a:gd name="T2" fmla="*/ 2147483647 w 9471"/>
                            <a:gd name="T3" fmla="*/ 2016125 h 5"/>
                            <a:gd name="T4" fmla="*/ 0 60000 65536"/>
                            <a:gd name="T5" fmla="*/ 0 60000 65536"/>
                          </a:gdLst>
                          <a:ahLst/>
                          <a:cxnLst>
                            <a:cxn ang="T4">
                              <a:pos x="T0" y="T1"/>
                            </a:cxn>
                            <a:cxn ang="T5">
                              <a:pos x="T2" y="T3"/>
                            </a:cxn>
                          </a:cxnLst>
                          <a:rect l="0" t="0" r="r" b="b"/>
                          <a:pathLst>
                            <a:path w="9471" h="5">
                              <a:moveTo>
                                <a:pt x="0" y="0"/>
                              </a:moveTo>
                              <a:lnTo>
                                <a:pt x="9471" y="5"/>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7F9F71" id="Freeform 1"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45pt,17.3pt,463.1pt,17.55pt" coordsize="9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" filled="f" strokeweight="3pt">
                <v:path arrowok="t" o:connecttype="custom" o:connectlocs="0,0;2147483646,1280239375" o:connectangles="0,0"/>
              </v:polyline>
            </w:pict>
          </mc:Fallback>
        </mc:AlternateContent>
      </w:r>
    </w:p>
    <w:p w14:paraId="389D3CC9" w14:textId="77777777" w:rsidR="00D955EA" w:rsidRPr="008233E2" w:rsidRDefault="00D955EA" w:rsidP="00D955EA">
      <w:pPr>
        <w:widowControl w:val="0"/>
        <w:spacing w:after="0" w:line="240" w:lineRule="auto"/>
        <w:rPr>
          <w:rFonts w:cs="Arial"/>
          <w:bCs/>
          <w:snapToGrid w:val="0"/>
          <w:sz w:val="20"/>
          <w:szCs w:val="20"/>
        </w:rPr>
      </w:pPr>
    </w:p>
    <w:p w14:paraId="0331B188" w14:textId="77777777" w:rsidR="00D955EA" w:rsidRPr="008233E2" w:rsidRDefault="00D955EA" w:rsidP="00D955EA">
      <w:pPr>
        <w:widowControl w:val="0"/>
        <w:spacing w:after="0" w:line="240" w:lineRule="auto"/>
        <w:rPr>
          <w:rFonts w:cs="Arial"/>
          <w:bCs/>
          <w:snapToGrid w:val="0"/>
          <w:sz w:val="20"/>
          <w:szCs w:val="20"/>
        </w:rPr>
      </w:pPr>
    </w:p>
    <w:p w14:paraId="24745EF6" w14:textId="77777777" w:rsidR="00D955EA" w:rsidRPr="008233E2" w:rsidRDefault="00D955EA" w:rsidP="00D955EA">
      <w:pPr>
        <w:widowControl w:val="0"/>
        <w:spacing w:after="0" w:line="240" w:lineRule="auto"/>
        <w:rPr>
          <w:rFonts w:cs="Arial"/>
          <w:bCs/>
          <w:snapToGrid w:val="0"/>
          <w:sz w:val="20"/>
          <w:szCs w:val="20"/>
        </w:rPr>
      </w:pPr>
    </w:p>
    <w:p w14:paraId="1F6BD1D2" w14:textId="77777777" w:rsidR="00D955EA" w:rsidRPr="008233E2" w:rsidRDefault="00D955EA" w:rsidP="00D955EA">
      <w:pPr>
        <w:spacing w:after="0" w:line="240" w:lineRule="auto"/>
        <w:rPr>
          <w:rFonts w:cs="Arial"/>
        </w:rPr>
      </w:pPr>
    </w:p>
    <w:p w14:paraId="065D3697" w14:textId="77777777" w:rsidR="00D955EA" w:rsidRPr="008233E2" w:rsidRDefault="00D955EA" w:rsidP="00D955EA">
      <w:pPr>
        <w:spacing w:after="0" w:line="240" w:lineRule="auto"/>
        <w:rPr>
          <w:rFonts w:cs="Arial"/>
        </w:rPr>
      </w:pPr>
    </w:p>
    <w:p w14:paraId="4103F567" w14:textId="77777777" w:rsidR="00D955EA" w:rsidRPr="008233E2" w:rsidRDefault="00D955EA" w:rsidP="00D955EA">
      <w:pPr>
        <w:spacing w:after="0" w:line="240" w:lineRule="auto"/>
        <w:rPr>
          <w:rFonts w:cs="Arial"/>
        </w:rPr>
      </w:pPr>
    </w:p>
    <w:tbl>
      <w:tblPr>
        <w:tblW w:w="9387" w:type="dxa"/>
        <w:tblInd w:w="106" w:type="dxa"/>
        <w:tblLayout w:type="fixed"/>
        <w:tblCellMar>
          <w:left w:w="0" w:type="dxa"/>
          <w:right w:w="0" w:type="dxa"/>
        </w:tblCellMar>
        <w:tblLook w:val="01E0" w:firstRow="1" w:lastRow="1" w:firstColumn="1" w:lastColumn="1" w:noHBand="0" w:noVBand="0"/>
      </w:tblPr>
      <w:tblGrid>
        <w:gridCol w:w="4669"/>
        <w:gridCol w:w="4718"/>
      </w:tblGrid>
      <w:tr w:rsidR="00836BE5" w:rsidRPr="00882591" w14:paraId="21F03D48" w14:textId="77777777" w:rsidTr="00972AEA">
        <w:trPr>
          <w:trHeight w:hRule="exact" w:val="286"/>
        </w:trPr>
        <w:tc>
          <w:tcPr>
            <w:tcW w:w="4669" w:type="dxa"/>
            <w:tcBorders>
              <w:top w:val="single" w:sz="4" w:space="0" w:color="000000"/>
              <w:left w:val="single" w:sz="4" w:space="0" w:color="000000"/>
              <w:bottom w:val="single" w:sz="4" w:space="0" w:color="000000"/>
              <w:right w:val="single" w:sz="4" w:space="0" w:color="000000"/>
            </w:tcBorders>
          </w:tcPr>
          <w:p w14:paraId="4EE28AA2" w14:textId="38DB9DCE" w:rsidR="00836BE5" w:rsidRPr="00882591" w:rsidRDefault="00836BE5" w:rsidP="003B6C75">
            <w:pPr>
              <w:pStyle w:val="TableParagraph"/>
              <w:spacing w:line="271" w:lineRule="exact"/>
              <w:ind w:left="102"/>
              <w:rPr>
                <w:rFonts w:ascii="Arial" w:hAnsi="Arial" w:cs="Arial"/>
                <w:b/>
                <w:bCs/>
                <w:sz w:val="22"/>
                <w:szCs w:val="22"/>
              </w:rPr>
            </w:pPr>
            <w:r>
              <w:rPr>
                <w:rFonts w:ascii="Arial" w:hAnsi="Arial" w:cs="Arial"/>
                <w:b/>
                <w:bCs/>
                <w:sz w:val="22"/>
                <w:szCs w:val="22"/>
              </w:rPr>
              <w:t>Academic Board Approval</w:t>
            </w:r>
          </w:p>
        </w:tc>
        <w:tc>
          <w:tcPr>
            <w:tcW w:w="4718" w:type="dxa"/>
            <w:tcBorders>
              <w:top w:val="single" w:sz="4" w:space="0" w:color="000000"/>
              <w:left w:val="single" w:sz="4" w:space="0" w:color="000000"/>
              <w:bottom w:val="single" w:sz="4" w:space="0" w:color="000000"/>
              <w:right w:val="single" w:sz="4" w:space="0" w:color="000000"/>
            </w:tcBorders>
          </w:tcPr>
          <w:p w14:paraId="63ED4EAD" w14:textId="76F60611" w:rsidR="00836BE5" w:rsidRPr="00882591" w:rsidRDefault="00836BE5" w:rsidP="003B6C75">
            <w:pPr>
              <w:pStyle w:val="TableParagraph"/>
              <w:spacing w:line="271" w:lineRule="exact"/>
              <w:ind w:left="102"/>
              <w:rPr>
                <w:rFonts w:ascii="Arial" w:hAnsi="Arial" w:cs="Arial"/>
                <w:sz w:val="22"/>
                <w:szCs w:val="22"/>
              </w:rPr>
            </w:pPr>
            <w:r>
              <w:rPr>
                <w:rFonts w:ascii="Arial" w:hAnsi="Arial" w:cs="Arial"/>
                <w:sz w:val="22"/>
                <w:szCs w:val="22"/>
              </w:rPr>
              <w:t>6 March 2024</w:t>
            </w:r>
          </w:p>
        </w:tc>
      </w:tr>
      <w:tr w:rsidR="00836BE5" w:rsidRPr="00882591" w14:paraId="63917549" w14:textId="77777777" w:rsidTr="00972AEA">
        <w:trPr>
          <w:trHeight w:hRule="exact" w:val="286"/>
        </w:trPr>
        <w:tc>
          <w:tcPr>
            <w:tcW w:w="4669" w:type="dxa"/>
            <w:tcBorders>
              <w:top w:val="single" w:sz="4" w:space="0" w:color="000000"/>
              <w:left w:val="single" w:sz="4" w:space="0" w:color="000000"/>
              <w:bottom w:val="single" w:sz="4" w:space="0" w:color="000000"/>
              <w:right w:val="single" w:sz="4" w:space="0" w:color="000000"/>
            </w:tcBorders>
          </w:tcPr>
          <w:p w14:paraId="11BCC62F" w14:textId="15F89E16" w:rsidR="00836BE5" w:rsidRDefault="00836BE5" w:rsidP="003B6C75">
            <w:pPr>
              <w:pStyle w:val="TableParagraph"/>
              <w:spacing w:line="271" w:lineRule="exact"/>
              <w:ind w:left="102"/>
              <w:rPr>
                <w:rFonts w:ascii="Arial" w:hAnsi="Arial" w:cs="Arial"/>
                <w:b/>
                <w:bCs/>
                <w:sz w:val="22"/>
                <w:szCs w:val="22"/>
              </w:rPr>
            </w:pPr>
            <w:r>
              <w:rPr>
                <w:rFonts w:ascii="Arial" w:hAnsi="Arial" w:cs="Arial"/>
                <w:b/>
                <w:bCs/>
                <w:sz w:val="22"/>
                <w:szCs w:val="22"/>
              </w:rPr>
              <w:t xml:space="preserve">Audit Committee Approval </w:t>
            </w:r>
          </w:p>
        </w:tc>
        <w:tc>
          <w:tcPr>
            <w:tcW w:w="4718" w:type="dxa"/>
            <w:tcBorders>
              <w:top w:val="single" w:sz="4" w:space="0" w:color="000000"/>
              <w:left w:val="single" w:sz="4" w:space="0" w:color="000000"/>
              <w:bottom w:val="single" w:sz="4" w:space="0" w:color="000000"/>
              <w:right w:val="single" w:sz="4" w:space="0" w:color="000000"/>
            </w:tcBorders>
          </w:tcPr>
          <w:p w14:paraId="120BA3A4" w14:textId="2A3D4E5A" w:rsidR="00836BE5" w:rsidRDefault="00836BE5" w:rsidP="003B6C75">
            <w:pPr>
              <w:pStyle w:val="TableParagraph"/>
              <w:spacing w:line="271" w:lineRule="exact"/>
              <w:ind w:left="102"/>
              <w:rPr>
                <w:rFonts w:ascii="Arial" w:hAnsi="Arial" w:cs="Arial"/>
                <w:sz w:val="22"/>
                <w:szCs w:val="22"/>
              </w:rPr>
            </w:pPr>
            <w:r>
              <w:rPr>
                <w:rFonts w:ascii="Arial" w:hAnsi="Arial" w:cs="Arial"/>
                <w:sz w:val="22"/>
                <w:szCs w:val="22"/>
              </w:rPr>
              <w:t>18 March 2024</w:t>
            </w:r>
          </w:p>
        </w:tc>
      </w:tr>
      <w:tr w:rsidR="00D955EA" w:rsidRPr="00882591" w14:paraId="6FDB3792" w14:textId="77777777" w:rsidTr="00972AEA">
        <w:trPr>
          <w:trHeight w:hRule="exact" w:val="286"/>
        </w:trPr>
        <w:tc>
          <w:tcPr>
            <w:tcW w:w="4669" w:type="dxa"/>
            <w:tcBorders>
              <w:top w:val="single" w:sz="4" w:space="0" w:color="000000"/>
              <w:left w:val="single" w:sz="4" w:space="0" w:color="000000"/>
              <w:bottom w:val="single" w:sz="4" w:space="0" w:color="000000"/>
              <w:right w:val="single" w:sz="4" w:space="0" w:color="000000"/>
            </w:tcBorders>
          </w:tcPr>
          <w:p w14:paraId="4FEA533F" w14:textId="77777777" w:rsidR="00D955EA" w:rsidRPr="00882591" w:rsidRDefault="00D955EA" w:rsidP="003B6C75">
            <w:pPr>
              <w:pStyle w:val="TableParagraph"/>
              <w:spacing w:line="271" w:lineRule="exact"/>
              <w:ind w:left="102"/>
              <w:rPr>
                <w:rFonts w:ascii="Arial" w:hAnsi="Arial" w:cs="Arial"/>
                <w:b/>
                <w:bCs/>
                <w:sz w:val="22"/>
                <w:szCs w:val="22"/>
              </w:rPr>
            </w:pPr>
            <w:r w:rsidRPr="00882591">
              <w:rPr>
                <w:rFonts w:ascii="Arial" w:hAnsi="Arial" w:cs="Arial"/>
                <w:b/>
                <w:bCs/>
                <w:sz w:val="22"/>
                <w:szCs w:val="22"/>
              </w:rPr>
              <w:t>Board of Governors Approval</w:t>
            </w:r>
          </w:p>
        </w:tc>
        <w:tc>
          <w:tcPr>
            <w:tcW w:w="4718" w:type="dxa"/>
            <w:tcBorders>
              <w:top w:val="single" w:sz="4" w:space="0" w:color="000000"/>
              <w:left w:val="single" w:sz="4" w:space="0" w:color="000000"/>
              <w:bottom w:val="single" w:sz="4" w:space="0" w:color="000000"/>
              <w:right w:val="single" w:sz="4" w:space="0" w:color="000000"/>
            </w:tcBorders>
          </w:tcPr>
          <w:p w14:paraId="6B888821" w14:textId="2A8ADD80" w:rsidR="00D955EA" w:rsidRPr="00882591" w:rsidRDefault="0040290C" w:rsidP="003B6C75">
            <w:pPr>
              <w:pStyle w:val="TableParagraph"/>
              <w:spacing w:line="271" w:lineRule="exact"/>
              <w:ind w:left="102"/>
              <w:rPr>
                <w:rFonts w:ascii="Arial" w:hAnsi="Arial" w:cs="Arial"/>
                <w:sz w:val="22"/>
                <w:szCs w:val="22"/>
              </w:rPr>
            </w:pPr>
            <w:r>
              <w:rPr>
                <w:rFonts w:ascii="Arial" w:hAnsi="Arial" w:cs="Arial"/>
                <w:sz w:val="22"/>
                <w:szCs w:val="22"/>
              </w:rPr>
              <w:t>22 March 2024</w:t>
            </w:r>
          </w:p>
        </w:tc>
      </w:tr>
      <w:tr w:rsidR="00D955EA" w:rsidRPr="00882591" w14:paraId="00DFD2A5" w14:textId="77777777" w:rsidTr="00972AEA">
        <w:trPr>
          <w:trHeight w:hRule="exact" w:val="286"/>
        </w:trPr>
        <w:tc>
          <w:tcPr>
            <w:tcW w:w="4669" w:type="dxa"/>
            <w:tcBorders>
              <w:top w:val="single" w:sz="4" w:space="0" w:color="000000"/>
              <w:left w:val="single" w:sz="4" w:space="0" w:color="000000"/>
              <w:bottom w:val="single" w:sz="4" w:space="0" w:color="000000"/>
              <w:right w:val="single" w:sz="4" w:space="0" w:color="000000"/>
            </w:tcBorders>
          </w:tcPr>
          <w:p w14:paraId="47EFD74C" w14:textId="77777777" w:rsidR="00D955EA" w:rsidRPr="00882591" w:rsidRDefault="00D955EA" w:rsidP="003B6C75">
            <w:pPr>
              <w:pStyle w:val="TableParagraph"/>
              <w:spacing w:line="271" w:lineRule="exact"/>
              <w:ind w:left="102"/>
              <w:rPr>
                <w:rFonts w:ascii="Arial" w:hAnsi="Arial" w:cs="Arial"/>
                <w:b/>
                <w:sz w:val="22"/>
                <w:szCs w:val="22"/>
              </w:rPr>
            </w:pPr>
            <w:r w:rsidRPr="00882591">
              <w:rPr>
                <w:rFonts w:ascii="Arial" w:hAnsi="Arial" w:cs="Arial"/>
                <w:b/>
                <w:bCs/>
                <w:sz w:val="22"/>
                <w:szCs w:val="22"/>
              </w:rPr>
              <w:t>Le</w:t>
            </w:r>
            <w:r w:rsidRPr="00882591">
              <w:rPr>
                <w:rFonts w:ascii="Arial" w:hAnsi="Arial" w:cs="Arial"/>
                <w:b/>
                <w:bCs/>
                <w:spacing w:val="1"/>
                <w:sz w:val="22"/>
                <w:szCs w:val="22"/>
              </w:rPr>
              <w:t>a</w:t>
            </w:r>
            <w:r w:rsidRPr="00882591">
              <w:rPr>
                <w:rFonts w:ascii="Arial" w:hAnsi="Arial" w:cs="Arial"/>
                <w:b/>
                <w:bCs/>
                <w:spacing w:val="-1"/>
                <w:sz w:val="22"/>
                <w:szCs w:val="22"/>
              </w:rPr>
              <w:t>d:</w:t>
            </w:r>
          </w:p>
        </w:tc>
        <w:tc>
          <w:tcPr>
            <w:tcW w:w="4718" w:type="dxa"/>
            <w:tcBorders>
              <w:top w:val="single" w:sz="4" w:space="0" w:color="000000"/>
              <w:left w:val="single" w:sz="4" w:space="0" w:color="000000"/>
              <w:bottom w:val="single" w:sz="4" w:space="0" w:color="000000"/>
              <w:right w:val="single" w:sz="4" w:space="0" w:color="000000"/>
            </w:tcBorders>
          </w:tcPr>
          <w:p w14:paraId="572350CE" w14:textId="07BFE415" w:rsidR="00D955EA" w:rsidRPr="00882591" w:rsidRDefault="00D955EA" w:rsidP="003B6C75">
            <w:pPr>
              <w:pStyle w:val="TableParagraph"/>
              <w:spacing w:line="271" w:lineRule="exact"/>
              <w:ind w:left="102"/>
              <w:rPr>
                <w:rFonts w:ascii="Arial" w:hAnsi="Arial" w:cs="Arial"/>
                <w:sz w:val="22"/>
                <w:szCs w:val="22"/>
              </w:rPr>
            </w:pPr>
            <w:r w:rsidRPr="00882591">
              <w:rPr>
                <w:rFonts w:ascii="Arial" w:hAnsi="Arial" w:cs="Arial"/>
                <w:sz w:val="22"/>
                <w:szCs w:val="22"/>
              </w:rPr>
              <w:t xml:space="preserve">University Risk </w:t>
            </w:r>
            <w:r w:rsidR="002F3460">
              <w:rPr>
                <w:rFonts w:ascii="Arial" w:hAnsi="Arial" w:cs="Arial"/>
                <w:sz w:val="22"/>
                <w:szCs w:val="22"/>
              </w:rPr>
              <w:t>and Compliance Anal</w:t>
            </w:r>
            <w:r w:rsidR="009A44AD">
              <w:rPr>
                <w:rFonts w:ascii="Arial" w:hAnsi="Arial" w:cs="Arial"/>
                <w:sz w:val="22"/>
                <w:szCs w:val="22"/>
              </w:rPr>
              <w:t>yst</w:t>
            </w:r>
          </w:p>
        </w:tc>
      </w:tr>
      <w:tr w:rsidR="00D955EA" w:rsidRPr="00882591" w14:paraId="68900572" w14:textId="77777777" w:rsidTr="00972AEA">
        <w:trPr>
          <w:trHeight w:hRule="exact" w:val="286"/>
        </w:trPr>
        <w:tc>
          <w:tcPr>
            <w:tcW w:w="4669" w:type="dxa"/>
            <w:tcBorders>
              <w:top w:val="single" w:sz="4" w:space="0" w:color="000000"/>
              <w:left w:val="single" w:sz="4" w:space="0" w:color="000000"/>
              <w:bottom w:val="single" w:sz="4" w:space="0" w:color="000000"/>
              <w:right w:val="single" w:sz="4" w:space="0" w:color="000000"/>
            </w:tcBorders>
          </w:tcPr>
          <w:p w14:paraId="25A0B552" w14:textId="77777777" w:rsidR="00D955EA" w:rsidRPr="00882591" w:rsidRDefault="00D955EA" w:rsidP="003B6C75">
            <w:pPr>
              <w:pStyle w:val="TableParagraph"/>
              <w:spacing w:line="271" w:lineRule="exact"/>
              <w:ind w:left="102"/>
              <w:rPr>
                <w:rFonts w:ascii="Arial" w:hAnsi="Arial" w:cs="Arial"/>
                <w:b/>
                <w:bCs/>
                <w:sz w:val="22"/>
                <w:szCs w:val="22"/>
              </w:rPr>
            </w:pPr>
            <w:r w:rsidRPr="00882591">
              <w:rPr>
                <w:rFonts w:ascii="Arial" w:hAnsi="Arial" w:cs="Arial"/>
                <w:b/>
                <w:bCs/>
                <w:sz w:val="22"/>
                <w:szCs w:val="22"/>
              </w:rPr>
              <w:t>Date of next review:</w:t>
            </w:r>
          </w:p>
        </w:tc>
        <w:tc>
          <w:tcPr>
            <w:tcW w:w="4718" w:type="dxa"/>
            <w:tcBorders>
              <w:top w:val="single" w:sz="4" w:space="0" w:color="000000"/>
              <w:left w:val="single" w:sz="4" w:space="0" w:color="000000"/>
              <w:bottom w:val="single" w:sz="4" w:space="0" w:color="000000"/>
              <w:right w:val="single" w:sz="4" w:space="0" w:color="000000"/>
            </w:tcBorders>
          </w:tcPr>
          <w:p w14:paraId="2158D92B" w14:textId="218735E9" w:rsidR="00D955EA" w:rsidRPr="00882591" w:rsidRDefault="00D955EA" w:rsidP="003B6C75">
            <w:pPr>
              <w:pStyle w:val="TableParagraph"/>
              <w:spacing w:line="271" w:lineRule="exact"/>
              <w:ind w:left="102"/>
              <w:rPr>
                <w:rFonts w:ascii="Arial" w:hAnsi="Arial" w:cs="Arial"/>
                <w:sz w:val="22"/>
                <w:szCs w:val="22"/>
              </w:rPr>
            </w:pPr>
          </w:p>
        </w:tc>
      </w:tr>
    </w:tbl>
    <w:p w14:paraId="782DDF28" w14:textId="77777777" w:rsidR="00D955EA" w:rsidRDefault="00D955EA" w:rsidP="00D955EA">
      <w:pPr>
        <w:spacing w:after="0" w:line="240" w:lineRule="auto"/>
        <w:rPr>
          <w:rFonts w:cs="Arial"/>
        </w:rPr>
      </w:pPr>
    </w:p>
    <w:p w14:paraId="12D709E7" w14:textId="77777777" w:rsidR="00D955EA" w:rsidRPr="008233E2" w:rsidRDefault="00D955EA" w:rsidP="00D955EA">
      <w:pPr>
        <w:spacing w:after="0" w:line="240" w:lineRule="auto"/>
        <w:rPr>
          <w:rFonts w:cs="Arial"/>
        </w:rPr>
      </w:pPr>
    </w:p>
    <w:tbl>
      <w:tblPr>
        <w:tblStyle w:val="TableGrid"/>
        <w:tblW w:w="9265" w:type="dxa"/>
        <w:jc w:val="center"/>
        <w:tblLook w:val="04A0" w:firstRow="1" w:lastRow="0" w:firstColumn="1" w:lastColumn="0" w:noHBand="0" w:noVBand="1"/>
      </w:tblPr>
      <w:tblGrid>
        <w:gridCol w:w="962"/>
        <w:gridCol w:w="3932"/>
        <w:gridCol w:w="4363"/>
        <w:gridCol w:w="8"/>
      </w:tblGrid>
      <w:tr w:rsidR="00D955EA" w14:paraId="482BCB91" w14:textId="77777777" w:rsidTr="007F417A">
        <w:trPr>
          <w:trHeight w:val="249"/>
          <w:jc w:val="center"/>
        </w:trPr>
        <w:tc>
          <w:tcPr>
            <w:tcW w:w="9265" w:type="dxa"/>
            <w:gridSpan w:val="4"/>
            <w:shd w:val="clear" w:color="auto" w:fill="auto"/>
          </w:tcPr>
          <w:p w14:paraId="5EA3ACDF" w14:textId="2E0060C1" w:rsidR="00D955EA" w:rsidRPr="00482F7F" w:rsidRDefault="007F417A" w:rsidP="007F417A">
            <w:pPr>
              <w:jc w:val="center"/>
              <w:rPr>
                <w:b/>
                <w:highlight w:val="lightGray"/>
              </w:rPr>
            </w:pPr>
            <w:r>
              <w:rPr>
                <w:b/>
                <w:color w:val="000000" w:themeColor="text1"/>
              </w:rPr>
              <w:t>Amendment</w:t>
            </w:r>
            <w:r w:rsidR="00D955EA" w:rsidRPr="00482F7F">
              <w:rPr>
                <w:b/>
              </w:rPr>
              <w:t xml:space="preserve"> History</w:t>
            </w:r>
          </w:p>
        </w:tc>
      </w:tr>
      <w:tr w:rsidR="00D955EA" w14:paraId="52BCC471" w14:textId="77777777" w:rsidTr="007F417A">
        <w:trPr>
          <w:trHeight w:val="234"/>
          <w:jc w:val="center"/>
        </w:trPr>
        <w:tc>
          <w:tcPr>
            <w:tcW w:w="327" w:type="dxa"/>
            <w:shd w:val="clear" w:color="auto" w:fill="auto"/>
            <w:vAlign w:val="center"/>
          </w:tcPr>
          <w:p w14:paraId="532D4A5F" w14:textId="77777777" w:rsidR="00D955EA" w:rsidRPr="007F417A" w:rsidRDefault="00D955EA" w:rsidP="003B6C75">
            <w:pPr>
              <w:jc w:val="center"/>
            </w:pPr>
            <w:r w:rsidRPr="007F417A">
              <w:t>Version</w:t>
            </w:r>
          </w:p>
        </w:tc>
        <w:tc>
          <w:tcPr>
            <w:tcW w:w="4222" w:type="dxa"/>
            <w:shd w:val="clear" w:color="auto" w:fill="auto"/>
            <w:vAlign w:val="center"/>
          </w:tcPr>
          <w:p w14:paraId="0B8B1068" w14:textId="77777777" w:rsidR="00D955EA" w:rsidRPr="007F417A" w:rsidRDefault="00D955EA" w:rsidP="003B6C75">
            <w:pPr>
              <w:jc w:val="center"/>
            </w:pPr>
            <w:r w:rsidRPr="007F417A">
              <w:t>Amendments</w:t>
            </w:r>
          </w:p>
        </w:tc>
        <w:tc>
          <w:tcPr>
            <w:tcW w:w="4716" w:type="dxa"/>
            <w:gridSpan w:val="2"/>
            <w:shd w:val="clear" w:color="auto" w:fill="auto"/>
            <w:vAlign w:val="center"/>
          </w:tcPr>
          <w:p w14:paraId="71011CDA" w14:textId="77777777" w:rsidR="00D955EA" w:rsidRPr="007F417A" w:rsidRDefault="00D955EA" w:rsidP="003B6C75">
            <w:pPr>
              <w:jc w:val="center"/>
            </w:pPr>
            <w:r w:rsidRPr="007F417A">
              <w:t>Reason</w:t>
            </w:r>
          </w:p>
        </w:tc>
      </w:tr>
      <w:tr w:rsidR="00404024" w14:paraId="4C99848B" w14:textId="77777777" w:rsidTr="007F417A">
        <w:trPr>
          <w:gridAfter w:val="1"/>
          <w:wAfter w:w="8" w:type="dxa"/>
          <w:trHeight w:val="500"/>
          <w:jc w:val="center"/>
        </w:trPr>
        <w:tc>
          <w:tcPr>
            <w:tcW w:w="327" w:type="dxa"/>
            <w:shd w:val="clear" w:color="auto" w:fill="auto"/>
          </w:tcPr>
          <w:p w14:paraId="2DEA8044" w14:textId="4682CF9F" w:rsidR="00404024" w:rsidRDefault="00404024" w:rsidP="003B6C75">
            <w:r>
              <w:t>1.1</w:t>
            </w:r>
          </w:p>
        </w:tc>
        <w:tc>
          <w:tcPr>
            <w:tcW w:w="4222" w:type="dxa"/>
            <w:shd w:val="clear" w:color="auto" w:fill="auto"/>
          </w:tcPr>
          <w:p w14:paraId="18477231" w14:textId="0073F42D" w:rsidR="00404024" w:rsidRDefault="00404024" w:rsidP="003B6C75">
            <w:r>
              <w:t>Purpose and scope have been combined and simplified</w:t>
            </w:r>
          </w:p>
        </w:tc>
        <w:tc>
          <w:tcPr>
            <w:tcW w:w="4708" w:type="dxa"/>
            <w:shd w:val="clear" w:color="auto" w:fill="auto"/>
          </w:tcPr>
          <w:p w14:paraId="07F49234" w14:textId="7A0B1C1A" w:rsidR="00404024" w:rsidRDefault="00587EF4" w:rsidP="003B6C75">
            <w:r>
              <w:t xml:space="preserve">To aid understanding </w:t>
            </w:r>
            <w:r w:rsidR="00DB28EA">
              <w:t>for</w:t>
            </w:r>
            <w:r>
              <w:t xml:space="preserve"> readers</w:t>
            </w:r>
          </w:p>
        </w:tc>
      </w:tr>
      <w:tr w:rsidR="00620279" w14:paraId="74059123" w14:textId="77777777" w:rsidTr="007F417A">
        <w:trPr>
          <w:gridAfter w:val="1"/>
          <w:wAfter w:w="8" w:type="dxa"/>
          <w:trHeight w:val="500"/>
          <w:jc w:val="center"/>
        </w:trPr>
        <w:tc>
          <w:tcPr>
            <w:tcW w:w="327" w:type="dxa"/>
            <w:shd w:val="clear" w:color="auto" w:fill="auto"/>
          </w:tcPr>
          <w:p w14:paraId="69BCED35" w14:textId="0C24D38B" w:rsidR="00620279" w:rsidRDefault="00C77EA0" w:rsidP="003B6C75">
            <w:r>
              <w:t>1.1</w:t>
            </w:r>
          </w:p>
        </w:tc>
        <w:tc>
          <w:tcPr>
            <w:tcW w:w="4222" w:type="dxa"/>
            <w:shd w:val="clear" w:color="auto" w:fill="auto"/>
          </w:tcPr>
          <w:p w14:paraId="0FE50404" w14:textId="1E559C65" w:rsidR="00620279" w:rsidRDefault="00C77EA0" w:rsidP="003B6C75">
            <w:r>
              <w:t xml:space="preserve">Amendment to section </w:t>
            </w:r>
            <w:r w:rsidR="007A6F5E">
              <w:t>5</w:t>
            </w:r>
            <w:r>
              <w:t xml:space="preserve"> </w:t>
            </w:r>
            <w:r w:rsidR="00DB28EA">
              <w:t>r</w:t>
            </w:r>
            <w:r>
              <w:t xml:space="preserve">isk </w:t>
            </w:r>
            <w:r w:rsidR="00DB28EA">
              <w:t>a</w:t>
            </w:r>
            <w:r>
              <w:t xml:space="preserve">ppetite and </w:t>
            </w:r>
            <w:r w:rsidR="00DB28EA">
              <w:t>t</w:t>
            </w:r>
            <w:r>
              <w:t>olerance statement</w:t>
            </w:r>
          </w:p>
        </w:tc>
        <w:tc>
          <w:tcPr>
            <w:tcW w:w="4708" w:type="dxa"/>
            <w:shd w:val="clear" w:color="auto" w:fill="auto"/>
          </w:tcPr>
          <w:p w14:paraId="5FD7C74C" w14:textId="44570EAC" w:rsidR="00620279" w:rsidRPr="00D955EA" w:rsidRDefault="00C77EA0" w:rsidP="003B6C75">
            <w:r>
              <w:t xml:space="preserve">To further explain appetite and </w:t>
            </w:r>
            <w:r w:rsidR="00DB28EA">
              <w:t>t</w:t>
            </w:r>
            <w:r>
              <w:t>olerance approach</w:t>
            </w:r>
          </w:p>
        </w:tc>
      </w:tr>
      <w:tr w:rsidR="00C77EA0" w14:paraId="165DA116" w14:textId="77777777" w:rsidTr="007F417A">
        <w:trPr>
          <w:gridAfter w:val="1"/>
          <w:wAfter w:w="8" w:type="dxa"/>
          <w:trHeight w:val="736"/>
          <w:jc w:val="center"/>
        </w:trPr>
        <w:tc>
          <w:tcPr>
            <w:tcW w:w="327" w:type="dxa"/>
            <w:shd w:val="clear" w:color="auto" w:fill="auto"/>
          </w:tcPr>
          <w:p w14:paraId="3C84F99A" w14:textId="524BEF52" w:rsidR="00C77EA0" w:rsidRDefault="00C77EA0" w:rsidP="003B6C75">
            <w:r>
              <w:t>1.1</w:t>
            </w:r>
          </w:p>
        </w:tc>
        <w:tc>
          <w:tcPr>
            <w:tcW w:w="4222" w:type="dxa"/>
            <w:shd w:val="clear" w:color="auto" w:fill="auto"/>
          </w:tcPr>
          <w:p w14:paraId="54686A0D" w14:textId="010F4983" w:rsidR="00C77EA0" w:rsidRDefault="00460321" w:rsidP="003B6C75">
            <w:r>
              <w:t>S</w:t>
            </w:r>
            <w:r w:rsidR="00B82234">
              <w:t xml:space="preserve">ection </w:t>
            </w:r>
            <w:r w:rsidR="007A6F5E">
              <w:t>6</w:t>
            </w:r>
            <w:r w:rsidR="00B82234">
              <w:t xml:space="preserve"> – Risk </w:t>
            </w:r>
            <w:r w:rsidR="00CE6396">
              <w:t>analysis</w:t>
            </w:r>
            <w:r>
              <w:t xml:space="preserve"> added and removal of Risk Management plan.</w:t>
            </w:r>
          </w:p>
        </w:tc>
        <w:tc>
          <w:tcPr>
            <w:tcW w:w="4708" w:type="dxa"/>
            <w:shd w:val="clear" w:color="auto" w:fill="auto"/>
          </w:tcPr>
          <w:p w14:paraId="44B95E26" w14:textId="2DCA753B" w:rsidR="00C77EA0" w:rsidRDefault="00460321" w:rsidP="003B6C75">
            <w:r>
              <w:t xml:space="preserve">To aid understanding of risk scoring </w:t>
            </w:r>
            <w:r w:rsidR="00670AB7">
              <w:t>and mitigation.</w:t>
            </w:r>
          </w:p>
        </w:tc>
      </w:tr>
      <w:tr w:rsidR="001B61E3" w14:paraId="0D69E0B9" w14:textId="77777777" w:rsidTr="007F417A">
        <w:trPr>
          <w:gridAfter w:val="1"/>
          <w:wAfter w:w="8" w:type="dxa"/>
          <w:trHeight w:val="736"/>
          <w:jc w:val="center"/>
        </w:trPr>
        <w:tc>
          <w:tcPr>
            <w:tcW w:w="327" w:type="dxa"/>
            <w:shd w:val="clear" w:color="auto" w:fill="auto"/>
          </w:tcPr>
          <w:p w14:paraId="54597D8C" w14:textId="182738B9" w:rsidR="001B61E3" w:rsidRDefault="001B61E3" w:rsidP="003B6C75">
            <w:r>
              <w:t>1.1</w:t>
            </w:r>
          </w:p>
        </w:tc>
        <w:tc>
          <w:tcPr>
            <w:tcW w:w="4222" w:type="dxa"/>
            <w:shd w:val="clear" w:color="auto" w:fill="auto"/>
          </w:tcPr>
          <w:p w14:paraId="08324A84" w14:textId="2DFB85D4" w:rsidR="001B61E3" w:rsidRDefault="001B61E3" w:rsidP="003B6C75">
            <w:r>
              <w:t xml:space="preserve">Section 7 – Roles and responsibilities have been amended </w:t>
            </w:r>
          </w:p>
        </w:tc>
        <w:tc>
          <w:tcPr>
            <w:tcW w:w="4708" w:type="dxa"/>
            <w:shd w:val="clear" w:color="auto" w:fill="auto"/>
          </w:tcPr>
          <w:p w14:paraId="0C615797" w14:textId="11D50D5E" w:rsidR="001B61E3" w:rsidRDefault="000C1F59" w:rsidP="003B6C75">
            <w:r>
              <w:t>To reflect the current roles and responsibilities of staff</w:t>
            </w:r>
          </w:p>
        </w:tc>
      </w:tr>
      <w:tr w:rsidR="003C5F2E" w14:paraId="3D883BD3" w14:textId="77777777" w:rsidTr="007F417A">
        <w:trPr>
          <w:gridAfter w:val="1"/>
          <w:wAfter w:w="8" w:type="dxa"/>
          <w:trHeight w:val="736"/>
          <w:jc w:val="center"/>
        </w:trPr>
        <w:tc>
          <w:tcPr>
            <w:tcW w:w="327" w:type="dxa"/>
            <w:shd w:val="clear" w:color="auto" w:fill="auto"/>
          </w:tcPr>
          <w:p w14:paraId="70845F44" w14:textId="6C2C4DB6" w:rsidR="003C5F2E" w:rsidRDefault="003C5F2E" w:rsidP="003B6C75">
            <w:r>
              <w:t>1.1</w:t>
            </w:r>
          </w:p>
        </w:tc>
        <w:tc>
          <w:tcPr>
            <w:tcW w:w="4222" w:type="dxa"/>
            <w:shd w:val="clear" w:color="auto" w:fill="auto"/>
          </w:tcPr>
          <w:p w14:paraId="21479470" w14:textId="3D65E78F" w:rsidR="003C5F2E" w:rsidRDefault="003C5F2E" w:rsidP="003B6C75">
            <w:r>
              <w:t xml:space="preserve">Change of job title from Risk Manager to Risk and Compliance Analyst </w:t>
            </w:r>
            <w:r w:rsidR="00F37079">
              <w:t>throughout</w:t>
            </w:r>
            <w:r>
              <w:t xml:space="preserve"> the policy </w:t>
            </w:r>
          </w:p>
        </w:tc>
        <w:tc>
          <w:tcPr>
            <w:tcW w:w="4708" w:type="dxa"/>
            <w:shd w:val="clear" w:color="auto" w:fill="auto"/>
          </w:tcPr>
          <w:p w14:paraId="52165358" w14:textId="317536F2" w:rsidR="003C5F2E" w:rsidRDefault="003C5F2E" w:rsidP="003B6C75">
            <w:r>
              <w:t xml:space="preserve">At the request of auditors </w:t>
            </w:r>
            <w:r w:rsidR="00DB28EA">
              <w:t>and to ensure a</w:t>
            </w:r>
            <w:r>
              <w:t>ccura</w:t>
            </w:r>
            <w:r w:rsidR="00DB28EA">
              <w:t>cy</w:t>
            </w:r>
            <w:r>
              <w:t>.</w:t>
            </w:r>
          </w:p>
        </w:tc>
      </w:tr>
      <w:tr w:rsidR="003C5F2E" w14:paraId="58663D02" w14:textId="77777777" w:rsidTr="007F417A">
        <w:trPr>
          <w:gridAfter w:val="1"/>
          <w:wAfter w:w="8" w:type="dxa"/>
          <w:trHeight w:val="486"/>
          <w:jc w:val="center"/>
        </w:trPr>
        <w:tc>
          <w:tcPr>
            <w:tcW w:w="327" w:type="dxa"/>
            <w:shd w:val="clear" w:color="auto" w:fill="auto"/>
          </w:tcPr>
          <w:p w14:paraId="246BB353" w14:textId="6334FACD" w:rsidR="003C5F2E" w:rsidRDefault="003C5F2E" w:rsidP="003B6C75">
            <w:r>
              <w:t>1.1</w:t>
            </w:r>
          </w:p>
        </w:tc>
        <w:tc>
          <w:tcPr>
            <w:tcW w:w="4222" w:type="dxa"/>
            <w:shd w:val="clear" w:color="auto" w:fill="auto"/>
          </w:tcPr>
          <w:p w14:paraId="52CB3677" w14:textId="511C699D" w:rsidR="003C5F2E" w:rsidRDefault="003C5F2E" w:rsidP="003B6C75">
            <w:r>
              <w:t xml:space="preserve">Risk scoring matrix included within the policy document (Appendix </w:t>
            </w:r>
            <w:r w:rsidR="00205ED2">
              <w:t>A</w:t>
            </w:r>
            <w:r>
              <w:t>)</w:t>
            </w:r>
          </w:p>
        </w:tc>
        <w:tc>
          <w:tcPr>
            <w:tcW w:w="4708" w:type="dxa"/>
            <w:shd w:val="clear" w:color="auto" w:fill="auto"/>
          </w:tcPr>
          <w:p w14:paraId="58F55FBA" w14:textId="20FF638A" w:rsidR="003C5F2E" w:rsidRDefault="003C5F2E" w:rsidP="003B6C75">
            <w:r>
              <w:t>To</w:t>
            </w:r>
            <w:r w:rsidR="00850342">
              <w:t xml:space="preserve"> provide readers with the risk scoring matrix </w:t>
            </w:r>
            <w:r w:rsidR="009707B4">
              <w:t>to</w:t>
            </w:r>
            <w:r w:rsidR="00850342">
              <w:t xml:space="preserve"> aid understanding</w:t>
            </w:r>
          </w:p>
        </w:tc>
      </w:tr>
      <w:tr w:rsidR="00B517E2" w14:paraId="26A70280" w14:textId="77777777" w:rsidTr="007F417A">
        <w:trPr>
          <w:gridAfter w:val="1"/>
          <w:wAfter w:w="8" w:type="dxa"/>
          <w:trHeight w:val="486"/>
          <w:jc w:val="center"/>
        </w:trPr>
        <w:tc>
          <w:tcPr>
            <w:tcW w:w="327" w:type="dxa"/>
            <w:shd w:val="clear" w:color="auto" w:fill="auto"/>
          </w:tcPr>
          <w:p w14:paraId="36649101" w14:textId="2959A441" w:rsidR="00B517E2" w:rsidRDefault="00B517E2" w:rsidP="003B6C75">
            <w:r>
              <w:t>1.1</w:t>
            </w:r>
          </w:p>
        </w:tc>
        <w:tc>
          <w:tcPr>
            <w:tcW w:w="4222" w:type="dxa"/>
            <w:shd w:val="clear" w:color="auto" w:fill="auto"/>
          </w:tcPr>
          <w:p w14:paraId="4B1BA93B" w14:textId="4FE6C28B" w:rsidR="00B517E2" w:rsidRDefault="00B517E2" w:rsidP="003B6C75">
            <w:r>
              <w:t>The risk appetite and tolerance statement has been removed and will be presented as a separate document on a</w:t>
            </w:r>
            <w:r w:rsidR="00566A53">
              <w:t>n</w:t>
            </w:r>
            <w:r>
              <w:t xml:space="preserve"> annual basis</w:t>
            </w:r>
          </w:p>
        </w:tc>
        <w:tc>
          <w:tcPr>
            <w:tcW w:w="4708" w:type="dxa"/>
            <w:shd w:val="clear" w:color="auto" w:fill="auto"/>
          </w:tcPr>
          <w:p w14:paraId="7F381C6A" w14:textId="409C01BD" w:rsidR="00B517E2" w:rsidRDefault="00B517E2" w:rsidP="003B6C75">
            <w:r>
              <w:t>The risk appetite and tolerance statement needs to be reviewed annually whereas the policy is reviewed every three years</w:t>
            </w:r>
          </w:p>
        </w:tc>
      </w:tr>
    </w:tbl>
    <w:p w14:paraId="6DAABE7E" w14:textId="77777777" w:rsidR="00DB28EA" w:rsidRDefault="00DB28EA" w:rsidP="00DB28EA">
      <w:pPr>
        <w:pStyle w:val="Heading1"/>
        <w:spacing w:before="0" w:line="276" w:lineRule="auto"/>
        <w:ind w:left="360"/>
        <w:rPr>
          <w:highlight w:val="lightGray"/>
          <w:u w:val="none"/>
        </w:rPr>
      </w:pPr>
    </w:p>
    <w:p w14:paraId="19CA92DE" w14:textId="77777777" w:rsidR="00DB28EA" w:rsidRDefault="00DB28EA">
      <w:pPr>
        <w:rPr>
          <w:rFonts w:eastAsiaTheme="majorEastAsia" w:cstheme="majorBidi"/>
          <w:b/>
          <w:szCs w:val="32"/>
          <w:highlight w:val="lightGray"/>
        </w:rPr>
      </w:pPr>
      <w:r>
        <w:rPr>
          <w:highlight w:val="lightGray"/>
        </w:rPr>
        <w:br w:type="page"/>
      </w:r>
    </w:p>
    <w:p w14:paraId="5927184A" w14:textId="3C7B616A" w:rsidR="00D955EA" w:rsidRPr="00DB28EA" w:rsidRDefault="00D955EA" w:rsidP="00D955EA">
      <w:pPr>
        <w:pStyle w:val="Heading1"/>
        <w:numPr>
          <w:ilvl w:val="0"/>
          <w:numId w:val="1"/>
        </w:numPr>
        <w:spacing w:before="0" w:line="276" w:lineRule="auto"/>
        <w:rPr>
          <w:u w:val="none"/>
        </w:rPr>
      </w:pPr>
      <w:r w:rsidRPr="00DB28EA">
        <w:rPr>
          <w:u w:val="none"/>
        </w:rPr>
        <w:lastRenderedPageBreak/>
        <w:t>Purpose</w:t>
      </w:r>
      <w:r w:rsidR="000E5927" w:rsidRPr="00DB28EA">
        <w:rPr>
          <w:u w:val="none"/>
        </w:rPr>
        <w:t xml:space="preserve"> and scope</w:t>
      </w:r>
    </w:p>
    <w:p w14:paraId="4BDBC6FE" w14:textId="73C1DBE0" w:rsidR="00D955EA" w:rsidRDefault="000E5927" w:rsidP="000E5927">
      <w:pPr>
        <w:pStyle w:val="ListParagraph"/>
        <w:numPr>
          <w:ilvl w:val="1"/>
          <w:numId w:val="31"/>
        </w:numPr>
        <w:spacing w:line="276" w:lineRule="auto"/>
      </w:pPr>
      <w:r>
        <w:t xml:space="preserve">The purpose of this policy is to outline a consistent approach towards risk across the University, </w:t>
      </w:r>
      <w:r w:rsidR="00972AEA">
        <w:t xml:space="preserve">it </w:t>
      </w:r>
      <w:r>
        <w:t>defines the responsibilities of risk managers, owners and the Board of Governors and provides risk assurance and management process.</w:t>
      </w:r>
      <w:r w:rsidR="00DE4E91">
        <w:br/>
      </w:r>
    </w:p>
    <w:p w14:paraId="6989F29A" w14:textId="1976113F" w:rsidR="000E5927" w:rsidRDefault="000E5927" w:rsidP="000E5927">
      <w:pPr>
        <w:pStyle w:val="ListParagraph"/>
        <w:numPr>
          <w:ilvl w:val="1"/>
          <w:numId w:val="31"/>
        </w:numPr>
        <w:spacing w:line="276" w:lineRule="auto"/>
      </w:pPr>
      <w:r>
        <w:t>Cardiff Met’s risk management policy is designed to:</w:t>
      </w:r>
    </w:p>
    <w:p w14:paraId="31902F66" w14:textId="31CEE1A5" w:rsidR="000E5927" w:rsidRDefault="000E5927" w:rsidP="000E5927">
      <w:pPr>
        <w:pStyle w:val="ListParagraph"/>
        <w:numPr>
          <w:ilvl w:val="0"/>
          <w:numId w:val="17"/>
        </w:numPr>
        <w:spacing w:line="276" w:lineRule="auto"/>
      </w:pPr>
      <w:r>
        <w:t>minimise the likelihood and impact of risks; and</w:t>
      </w:r>
    </w:p>
    <w:p w14:paraId="21FB9432" w14:textId="31D7AB58" w:rsidR="000E5927" w:rsidRDefault="000E5927" w:rsidP="000E5927">
      <w:pPr>
        <w:pStyle w:val="ListParagraph"/>
        <w:numPr>
          <w:ilvl w:val="0"/>
          <w:numId w:val="17"/>
        </w:numPr>
        <w:spacing w:line="276" w:lineRule="auto"/>
      </w:pPr>
      <w:r>
        <w:t>maximise the likelihood and benefit of taking opportunity risks.</w:t>
      </w:r>
      <w:r w:rsidR="00DE4E91">
        <w:br/>
      </w:r>
    </w:p>
    <w:p w14:paraId="0681A082" w14:textId="232052A7" w:rsidR="000E5927" w:rsidRDefault="000E5927" w:rsidP="000E5927">
      <w:pPr>
        <w:pStyle w:val="ListParagraph"/>
        <w:numPr>
          <w:ilvl w:val="1"/>
          <w:numId w:val="31"/>
        </w:numPr>
        <w:spacing w:line="276" w:lineRule="auto"/>
      </w:pPr>
      <w:r>
        <w:t>All risk management activity, protocols, processes, procedures, and structures required to manage risks relating to health, safety and wellbeing within the workplace are detailed within the University Health and Safety Policy.</w:t>
      </w:r>
      <w:r w:rsidR="00DE4E91">
        <w:br/>
      </w:r>
    </w:p>
    <w:p w14:paraId="7F509BAD" w14:textId="10A0DE87" w:rsidR="000E5927" w:rsidRDefault="000E5927" w:rsidP="000E5927">
      <w:pPr>
        <w:pStyle w:val="ListParagraph"/>
        <w:numPr>
          <w:ilvl w:val="1"/>
          <w:numId w:val="31"/>
        </w:numPr>
        <w:spacing w:line="276" w:lineRule="auto"/>
      </w:pPr>
      <w:r>
        <w:t>This Policy does not apply to Cardiff Met Students’ Union.</w:t>
      </w:r>
      <w:r w:rsidR="008D10E9">
        <w:br/>
      </w:r>
    </w:p>
    <w:p w14:paraId="09CE3546" w14:textId="531E0551" w:rsidR="00D955EA" w:rsidRDefault="00D955EA" w:rsidP="00DB28EA">
      <w:pPr>
        <w:pStyle w:val="Heading1"/>
        <w:numPr>
          <w:ilvl w:val="0"/>
          <w:numId w:val="1"/>
        </w:numPr>
        <w:spacing w:before="0" w:line="276" w:lineRule="auto"/>
        <w:rPr>
          <w:u w:val="none"/>
        </w:rPr>
      </w:pPr>
      <w:r w:rsidRPr="00DB28EA">
        <w:rPr>
          <w:u w:val="none"/>
        </w:rPr>
        <w:t>Definitions</w:t>
      </w:r>
    </w:p>
    <w:p w14:paraId="5EF860A0" w14:textId="4445A6E8" w:rsidR="00D955EA" w:rsidRDefault="00D955EA" w:rsidP="00DB28EA">
      <w:pPr>
        <w:pStyle w:val="ListParagraph"/>
        <w:numPr>
          <w:ilvl w:val="0"/>
          <w:numId w:val="18"/>
        </w:numPr>
        <w:spacing w:line="276" w:lineRule="auto"/>
        <w:ind w:left="927" w:hanging="567"/>
      </w:pPr>
      <w:r w:rsidRPr="00494A47">
        <w:rPr>
          <w:i/>
          <w:iCs/>
        </w:rPr>
        <w:t xml:space="preserve">Organisational </w:t>
      </w:r>
      <w:r w:rsidR="00B42F71">
        <w:rPr>
          <w:i/>
          <w:iCs/>
        </w:rPr>
        <w:t>r</w:t>
      </w:r>
      <w:r w:rsidR="00B42F71" w:rsidRPr="00494A47">
        <w:rPr>
          <w:i/>
          <w:iCs/>
        </w:rPr>
        <w:t>isk</w:t>
      </w:r>
      <w:r w:rsidR="00B42F71">
        <w:t>: the</w:t>
      </w:r>
      <w:r w:rsidRPr="00956864">
        <w:t xml:space="preserve"> combination of the likelihood and impact of an event which</w:t>
      </w:r>
      <w:r>
        <w:t>,</w:t>
      </w:r>
      <w:r w:rsidRPr="00956864">
        <w:t xml:space="preserve"> should it occur, would have an effect on the achievement of Cardiff Met’s academic and business objectives or operations.  </w:t>
      </w:r>
    </w:p>
    <w:p w14:paraId="7F1858C7" w14:textId="1C9DE237" w:rsidR="00D955EA" w:rsidRDefault="00D955EA" w:rsidP="00DB28EA">
      <w:pPr>
        <w:pStyle w:val="ListParagraph"/>
        <w:numPr>
          <w:ilvl w:val="0"/>
          <w:numId w:val="18"/>
        </w:numPr>
        <w:spacing w:line="276" w:lineRule="auto"/>
        <w:ind w:left="927" w:hanging="567"/>
      </w:pPr>
      <w:r w:rsidRPr="00494A47">
        <w:rPr>
          <w:i/>
          <w:iCs/>
        </w:rPr>
        <w:t xml:space="preserve">Risk </w:t>
      </w:r>
      <w:r w:rsidR="000E5927">
        <w:rPr>
          <w:i/>
          <w:iCs/>
        </w:rPr>
        <w:t>a</w:t>
      </w:r>
      <w:r w:rsidR="000E5927" w:rsidRPr="00494A47">
        <w:rPr>
          <w:i/>
          <w:iCs/>
        </w:rPr>
        <w:t>ppetite</w:t>
      </w:r>
      <w:r w:rsidR="000E5927">
        <w:rPr>
          <w:i/>
          <w:iCs/>
        </w:rPr>
        <w:t>: t</w:t>
      </w:r>
      <w:r w:rsidRPr="00B25040">
        <w:t>he</w:t>
      </w:r>
      <w:r>
        <w:t xml:space="preserve"> nature of risk, in a broad strategic sense</w:t>
      </w:r>
      <w:r w:rsidRPr="00B25040">
        <w:t xml:space="preserve">, that Cardiff Met is prepared </w:t>
      </w:r>
      <w:r>
        <w:t>to seek,</w:t>
      </w:r>
      <w:r w:rsidRPr="00B25040">
        <w:t xml:space="preserve"> be exposed to</w:t>
      </w:r>
      <w:r>
        <w:t xml:space="preserve"> or </w:t>
      </w:r>
      <w:r w:rsidR="00DB28EA">
        <w:t xml:space="preserve">to </w:t>
      </w:r>
      <w:r>
        <w:t>tolerate.</w:t>
      </w:r>
      <w:r w:rsidRPr="00B25040">
        <w:t xml:space="preserve"> </w:t>
      </w:r>
    </w:p>
    <w:p w14:paraId="3FD83CEB" w14:textId="7997E903" w:rsidR="00D955EA" w:rsidRDefault="00D955EA" w:rsidP="00DB28EA">
      <w:pPr>
        <w:pStyle w:val="ListParagraph"/>
        <w:numPr>
          <w:ilvl w:val="0"/>
          <w:numId w:val="18"/>
        </w:numPr>
        <w:spacing w:line="276" w:lineRule="auto"/>
        <w:ind w:left="927" w:hanging="567"/>
      </w:pPr>
      <w:r w:rsidRPr="00494A47">
        <w:rPr>
          <w:i/>
          <w:iCs/>
        </w:rPr>
        <w:t xml:space="preserve">Risk </w:t>
      </w:r>
      <w:r w:rsidR="00275BD7">
        <w:rPr>
          <w:i/>
          <w:iCs/>
        </w:rPr>
        <w:t>t</w:t>
      </w:r>
      <w:r w:rsidR="00275BD7" w:rsidRPr="00494A47">
        <w:rPr>
          <w:i/>
          <w:iCs/>
        </w:rPr>
        <w:t>olerance</w:t>
      </w:r>
      <w:r w:rsidR="00275BD7">
        <w:rPr>
          <w:i/>
          <w:iCs/>
        </w:rPr>
        <w:t>:</w:t>
      </w:r>
      <w:r w:rsidR="00275BD7">
        <w:t xml:space="preserve"> Risk</w:t>
      </w:r>
      <w:r w:rsidR="00C1070A">
        <w:t xml:space="preserve"> tolerance is the level of risk that the University can accept per individual risk. It is accepting the outcome of a risk should it occur and having the righ</w:t>
      </w:r>
      <w:r w:rsidR="00461E10">
        <w:t>t co</w:t>
      </w:r>
      <w:r w:rsidR="00C1070A">
        <w:t xml:space="preserve">ntrols in </w:t>
      </w:r>
    </w:p>
    <w:p w14:paraId="29FBA89D" w14:textId="4B5FE8FF" w:rsidR="00AF4783" w:rsidRDefault="00954692" w:rsidP="00DB28EA">
      <w:pPr>
        <w:pStyle w:val="ListParagraph"/>
        <w:numPr>
          <w:ilvl w:val="0"/>
          <w:numId w:val="18"/>
        </w:numPr>
        <w:spacing w:line="276" w:lineRule="auto"/>
        <w:ind w:left="927" w:hanging="567"/>
      </w:pPr>
      <w:r>
        <w:rPr>
          <w:i/>
          <w:iCs/>
        </w:rPr>
        <w:t>Risk likelihood</w:t>
      </w:r>
      <w:r w:rsidR="000E5927">
        <w:rPr>
          <w:i/>
          <w:iCs/>
        </w:rPr>
        <w:t xml:space="preserve">: </w:t>
      </w:r>
      <w:r w:rsidR="00B42F71">
        <w:t>r</w:t>
      </w:r>
      <w:r w:rsidR="001E2A0C">
        <w:t>efers</w:t>
      </w:r>
      <w:r w:rsidR="002E2473">
        <w:t xml:space="preserve"> to the chance of </w:t>
      </w:r>
      <w:r w:rsidR="00E16AA3">
        <w:t xml:space="preserve">the risk </w:t>
      </w:r>
      <w:r w:rsidR="00862414">
        <w:t>materialising</w:t>
      </w:r>
      <w:r w:rsidR="00E16AA3">
        <w:t>.</w:t>
      </w:r>
      <w:r w:rsidR="00AF4783">
        <w:t xml:space="preserve"> </w:t>
      </w:r>
    </w:p>
    <w:p w14:paraId="4AF6C208" w14:textId="47CE2A8E" w:rsidR="00AF4783" w:rsidRDefault="00AF4783" w:rsidP="00DB28EA">
      <w:pPr>
        <w:pStyle w:val="ListParagraph"/>
        <w:numPr>
          <w:ilvl w:val="0"/>
          <w:numId w:val="18"/>
        </w:numPr>
        <w:spacing w:line="276" w:lineRule="auto"/>
        <w:ind w:left="927" w:hanging="567"/>
      </w:pPr>
      <w:r>
        <w:rPr>
          <w:i/>
          <w:iCs/>
        </w:rPr>
        <w:t>Risk impact</w:t>
      </w:r>
      <w:r w:rsidR="000E5927">
        <w:rPr>
          <w:i/>
          <w:iCs/>
        </w:rPr>
        <w:t xml:space="preserve">: </w:t>
      </w:r>
      <w:r w:rsidR="00B42F71">
        <w:t>t</w:t>
      </w:r>
      <w:r>
        <w:t>he adverse effect that may occur due to exposure to the risk.</w:t>
      </w:r>
    </w:p>
    <w:p w14:paraId="1102DA32" w14:textId="4A235339" w:rsidR="00954692" w:rsidRDefault="00862414" w:rsidP="00DB28EA">
      <w:pPr>
        <w:pStyle w:val="ListParagraph"/>
        <w:numPr>
          <w:ilvl w:val="0"/>
          <w:numId w:val="18"/>
        </w:numPr>
        <w:spacing w:line="276" w:lineRule="auto"/>
        <w:ind w:left="927" w:hanging="567"/>
      </w:pPr>
      <w:r w:rsidRPr="000077F5">
        <w:rPr>
          <w:i/>
          <w:iCs/>
        </w:rPr>
        <w:t xml:space="preserve">Risk </w:t>
      </w:r>
      <w:r w:rsidR="001E2A0C">
        <w:rPr>
          <w:i/>
          <w:iCs/>
        </w:rPr>
        <w:t>m</w:t>
      </w:r>
      <w:r w:rsidR="001E2A0C" w:rsidRPr="000077F5">
        <w:rPr>
          <w:i/>
          <w:iCs/>
        </w:rPr>
        <w:t>itigation</w:t>
      </w:r>
      <w:r w:rsidR="001E2A0C">
        <w:rPr>
          <w:i/>
          <w:iCs/>
        </w:rPr>
        <w:t xml:space="preserve">: </w:t>
      </w:r>
      <w:r w:rsidR="001E2A0C" w:rsidRPr="00DB28EA">
        <w:t>any</w:t>
      </w:r>
      <w:r>
        <w:t xml:space="preserve"> process, policy, practice, or other conditions and/or actions which maintain or modify the risk.</w:t>
      </w:r>
      <w:r w:rsidR="00E16AA3">
        <w:t xml:space="preserve"> </w:t>
      </w:r>
      <w:r w:rsidR="002E2473">
        <w:t xml:space="preserve"> </w:t>
      </w:r>
    </w:p>
    <w:p w14:paraId="78CC03E6" w14:textId="589B003C" w:rsidR="003661AD" w:rsidRDefault="003661AD" w:rsidP="00DB28EA">
      <w:pPr>
        <w:pStyle w:val="ListParagraph"/>
        <w:numPr>
          <w:ilvl w:val="0"/>
          <w:numId w:val="18"/>
        </w:numPr>
        <w:spacing w:line="276" w:lineRule="auto"/>
        <w:ind w:left="927" w:hanging="567"/>
      </w:pPr>
      <w:r>
        <w:rPr>
          <w:i/>
          <w:iCs/>
        </w:rPr>
        <w:t>Risk proximity</w:t>
      </w:r>
      <w:r w:rsidR="000E5927">
        <w:rPr>
          <w:i/>
          <w:iCs/>
        </w:rPr>
        <w:t>: t</w:t>
      </w:r>
      <w:r>
        <w:t xml:space="preserve">he period of time before the risk might have an impact on the University. </w:t>
      </w:r>
      <w:r w:rsidR="00D10F72">
        <w:br/>
      </w:r>
    </w:p>
    <w:p w14:paraId="76DF6356" w14:textId="529D46B1" w:rsidR="00DB28EA" w:rsidRPr="00DB28EA" w:rsidRDefault="00D955EA" w:rsidP="00DB28EA">
      <w:pPr>
        <w:pStyle w:val="Heading1"/>
        <w:numPr>
          <w:ilvl w:val="0"/>
          <w:numId w:val="1"/>
        </w:numPr>
        <w:spacing w:before="0" w:line="276" w:lineRule="auto"/>
        <w:rPr>
          <w:bCs/>
          <w:u w:val="none"/>
        </w:rPr>
      </w:pPr>
      <w:r w:rsidRPr="00DB28EA">
        <w:rPr>
          <w:bCs/>
          <w:u w:val="none"/>
        </w:rPr>
        <w:t>Policy Statement</w:t>
      </w:r>
    </w:p>
    <w:p w14:paraId="18B07B7B" w14:textId="77777777" w:rsidR="00DB28EA" w:rsidRDefault="00C1003B" w:rsidP="00DB28EA">
      <w:pPr>
        <w:pStyle w:val="ListParagraph"/>
        <w:numPr>
          <w:ilvl w:val="1"/>
          <w:numId w:val="35"/>
        </w:numPr>
        <w:spacing w:after="0" w:line="276" w:lineRule="auto"/>
      </w:pPr>
      <w:r>
        <w:t>R</w:t>
      </w:r>
      <w:r w:rsidR="00D955EA">
        <w:t xml:space="preserve">isk management </w:t>
      </w:r>
      <w:r w:rsidR="009E5C62">
        <w:t xml:space="preserve">should </w:t>
      </w:r>
      <w:r w:rsidR="00D955EA">
        <w:t xml:space="preserve">enhance strategic planning and prioritisation, assist in achieving objectives and strengthen the ability to be agile to respond to challenges. </w:t>
      </w:r>
      <w:r w:rsidR="00D1024F">
        <w:t>It</w:t>
      </w:r>
      <w:r w:rsidR="00D955EA" w:rsidRPr="000F3B2E">
        <w:t xml:space="preserve"> is an integral part of the management of the University, its Schools, professional services, and the projects run at all levels across the institution</w:t>
      </w:r>
      <w:r w:rsidR="00D1024F">
        <w:t>,</w:t>
      </w:r>
      <w:r w:rsidR="00D955EA" w:rsidRPr="000F3B2E">
        <w:t xml:space="preserve"> </w:t>
      </w:r>
      <w:r w:rsidR="00D955EA">
        <w:t xml:space="preserve">helping to </w:t>
      </w:r>
      <w:r w:rsidR="00D1024F">
        <w:t xml:space="preserve">ensure </w:t>
      </w:r>
      <w:r w:rsidR="00D955EA">
        <w:t>objectives</w:t>
      </w:r>
      <w:r w:rsidR="00D1024F">
        <w:t xml:space="preserve"> are met</w:t>
      </w:r>
      <w:r w:rsidR="00D955EA">
        <w:t>, improve service delivery and achieve value for money</w:t>
      </w:r>
      <w:r w:rsidR="00DB28EA">
        <w:t>.</w:t>
      </w:r>
    </w:p>
    <w:p w14:paraId="1E932AAB" w14:textId="77777777" w:rsidR="00DB28EA" w:rsidRDefault="00DB28EA" w:rsidP="00DB28EA">
      <w:pPr>
        <w:pStyle w:val="ListParagraph"/>
        <w:spacing w:after="0" w:line="276" w:lineRule="auto"/>
        <w:ind w:left="360"/>
      </w:pPr>
    </w:p>
    <w:p w14:paraId="2915618E" w14:textId="77777777" w:rsidR="00DB28EA" w:rsidRDefault="00DB28EA" w:rsidP="00DB28EA">
      <w:pPr>
        <w:pStyle w:val="ListParagraph"/>
        <w:numPr>
          <w:ilvl w:val="1"/>
          <w:numId w:val="35"/>
        </w:numPr>
        <w:spacing w:after="0" w:line="276" w:lineRule="auto"/>
      </w:pPr>
      <w:r>
        <w:t>The Board of Governors, working collectively with the Executive, has ultimate responsibility for the University’s management of risk. It acknowledges that risk can never be eliminated and recognises the value for Cardiff Met in pursuing innovative and ambitious goals which have high potential rewards, but which must often necessarily entail a greater exposure to inherent risk.</w:t>
      </w:r>
    </w:p>
    <w:p w14:paraId="64BD21CF" w14:textId="25310C84" w:rsidR="00DB28EA" w:rsidRDefault="00DB28EA" w:rsidP="00DB28EA">
      <w:pPr>
        <w:pStyle w:val="ListParagraph"/>
        <w:spacing w:after="0" w:line="276" w:lineRule="auto"/>
        <w:ind w:left="360"/>
      </w:pPr>
    </w:p>
    <w:p w14:paraId="18B63037" w14:textId="77777777" w:rsidR="00DB28EA" w:rsidRDefault="00DB28EA" w:rsidP="00DB28EA">
      <w:pPr>
        <w:pStyle w:val="ListParagraph"/>
        <w:numPr>
          <w:ilvl w:val="1"/>
          <w:numId w:val="35"/>
        </w:numPr>
        <w:spacing w:after="0" w:line="276" w:lineRule="auto"/>
      </w:pPr>
      <w:r w:rsidRPr="006574E3">
        <w:t>The University is committed to ensuring that there is a proactive and effective system for managing and monitoring the organisational risks it faces in delivering its ambitions.</w:t>
      </w:r>
    </w:p>
    <w:p w14:paraId="53C04F1B" w14:textId="77777777" w:rsidR="00DB28EA" w:rsidRDefault="00DB28EA" w:rsidP="00DB28EA">
      <w:pPr>
        <w:spacing w:after="0" w:line="276" w:lineRule="auto"/>
      </w:pPr>
    </w:p>
    <w:p w14:paraId="1201CC97" w14:textId="77777777" w:rsidR="00DB28EA" w:rsidRDefault="00DB28EA" w:rsidP="00DB28EA">
      <w:pPr>
        <w:pStyle w:val="ListParagraph"/>
        <w:numPr>
          <w:ilvl w:val="1"/>
          <w:numId w:val="35"/>
        </w:numPr>
        <w:spacing w:after="0" w:line="276" w:lineRule="auto"/>
      </w:pPr>
      <w:r>
        <w:lastRenderedPageBreak/>
        <w:t>The University, in laying out its strategic aims and objectives, will ensure that these are appropriately and responsibly aligned with and monitored in accordance with the University’s risk appetite and risk tolerances.</w:t>
      </w:r>
    </w:p>
    <w:p w14:paraId="06F4372A" w14:textId="77777777" w:rsidR="00DB28EA" w:rsidRDefault="00DB28EA" w:rsidP="00DB28EA">
      <w:pPr>
        <w:spacing w:after="0" w:line="276" w:lineRule="auto"/>
      </w:pPr>
    </w:p>
    <w:p w14:paraId="28CA4EA2" w14:textId="6E5D2071" w:rsidR="00D955EA" w:rsidRDefault="00DB28EA" w:rsidP="00DB28EA">
      <w:pPr>
        <w:pStyle w:val="ListParagraph"/>
        <w:numPr>
          <w:ilvl w:val="1"/>
          <w:numId w:val="35"/>
        </w:numPr>
        <w:spacing w:after="0" w:line="276" w:lineRule="auto"/>
      </w:pPr>
      <w:r>
        <w:t>This Policy complies with the Governance Code of Practice and General Principles established by the Committee of University Chairs, and the requirements specified by HEFCW its Financial Memorandum and Financial Management Code.</w:t>
      </w:r>
      <w:r>
        <w:br/>
      </w:r>
    </w:p>
    <w:p w14:paraId="4476D4EA" w14:textId="5F21E2FC" w:rsidR="00D955EA" w:rsidRPr="00DB28EA" w:rsidRDefault="00D955EA" w:rsidP="00D955EA">
      <w:pPr>
        <w:pStyle w:val="Heading1"/>
        <w:numPr>
          <w:ilvl w:val="0"/>
          <w:numId w:val="22"/>
        </w:numPr>
        <w:spacing w:before="0" w:line="276" w:lineRule="auto"/>
        <w:ind w:left="426" w:hanging="426"/>
        <w:rPr>
          <w:u w:val="none"/>
        </w:rPr>
      </w:pPr>
      <w:r w:rsidRPr="00DB28EA">
        <w:rPr>
          <w:u w:val="none"/>
        </w:rPr>
        <w:t>Approach</w:t>
      </w:r>
    </w:p>
    <w:p w14:paraId="1FA7BF90" w14:textId="77777777" w:rsidR="000F68E6" w:rsidRDefault="00D955EA" w:rsidP="000F68E6">
      <w:pPr>
        <w:pStyle w:val="ListParagraph"/>
        <w:numPr>
          <w:ilvl w:val="1"/>
          <w:numId w:val="22"/>
        </w:numPr>
        <w:spacing w:after="240" w:line="276" w:lineRule="auto"/>
      </w:pPr>
      <w:r>
        <w:t>The following principles underpin the University’s approach to organisational risk management:</w:t>
      </w:r>
      <w:r w:rsidR="00DB28EA" w:rsidRPr="00DB28EA">
        <w:t xml:space="preserve"> </w:t>
      </w:r>
    </w:p>
    <w:p w14:paraId="1983A449" w14:textId="052BD044" w:rsidR="000F68E6" w:rsidRDefault="00D955EA" w:rsidP="000F68E6">
      <w:pPr>
        <w:pStyle w:val="ListParagraph"/>
        <w:numPr>
          <w:ilvl w:val="0"/>
          <w:numId w:val="36"/>
        </w:numPr>
        <w:spacing w:after="240" w:line="276" w:lineRule="auto"/>
      </w:pPr>
      <w:r w:rsidRPr="000F68E6">
        <w:rPr>
          <w:b/>
          <w:bCs/>
          <w:i/>
        </w:rPr>
        <w:t>Integration</w:t>
      </w:r>
      <w:r w:rsidRPr="000F68E6">
        <w:rPr>
          <w:b/>
          <w:bCs/>
        </w:rPr>
        <w:t>:</w:t>
      </w:r>
      <w:r>
        <w:t xml:space="preserve"> Risk management processes will be appropriately integrated with the University’s strategic planning processes and the University </w:t>
      </w:r>
      <w:r w:rsidR="00D1024F">
        <w:t xml:space="preserve">risk appetite </w:t>
      </w:r>
      <w:r>
        <w:t xml:space="preserve">and </w:t>
      </w:r>
      <w:r w:rsidR="00D1024F">
        <w:t>tolerance statement</w:t>
      </w:r>
      <w:r>
        <w:t>.</w:t>
      </w:r>
      <w:r w:rsidR="000F68E6">
        <w:t xml:space="preserve"> </w:t>
      </w:r>
    </w:p>
    <w:p w14:paraId="4271A69E" w14:textId="77777777" w:rsidR="000F68E6" w:rsidRDefault="00D955EA" w:rsidP="000F68E6">
      <w:pPr>
        <w:pStyle w:val="ListParagraph"/>
        <w:numPr>
          <w:ilvl w:val="0"/>
          <w:numId w:val="36"/>
        </w:numPr>
        <w:spacing w:after="240" w:line="276" w:lineRule="auto"/>
      </w:pPr>
      <w:r w:rsidRPr="000F68E6">
        <w:rPr>
          <w:b/>
          <w:bCs/>
          <w:i/>
        </w:rPr>
        <w:t xml:space="preserve">Alignment with </w:t>
      </w:r>
      <w:r w:rsidR="00D1024F" w:rsidRPr="000F68E6">
        <w:rPr>
          <w:b/>
          <w:bCs/>
          <w:i/>
        </w:rPr>
        <w:t>objectives</w:t>
      </w:r>
      <w:r w:rsidRPr="000F68E6">
        <w:rPr>
          <w:b/>
          <w:bCs/>
        </w:rPr>
        <w:t>:</w:t>
      </w:r>
      <w:r>
        <w:t xml:space="preserve"> Organisational risk management will be aligned with the University’s strategic objectives and the University’s </w:t>
      </w:r>
      <w:r w:rsidR="00A051E7">
        <w:t xml:space="preserve">risk appetite </w:t>
      </w:r>
      <w:r>
        <w:t xml:space="preserve">and </w:t>
      </w:r>
      <w:r w:rsidR="00A051E7">
        <w:t>tolerance statement</w:t>
      </w:r>
      <w:r>
        <w:t xml:space="preserve">. </w:t>
      </w:r>
    </w:p>
    <w:p w14:paraId="11024848" w14:textId="77777777" w:rsidR="000F68E6" w:rsidRDefault="00D955EA" w:rsidP="000F68E6">
      <w:pPr>
        <w:pStyle w:val="ListParagraph"/>
        <w:numPr>
          <w:ilvl w:val="0"/>
          <w:numId w:val="36"/>
        </w:numPr>
        <w:spacing w:after="240" w:line="276" w:lineRule="auto"/>
      </w:pPr>
      <w:r w:rsidRPr="000F68E6">
        <w:rPr>
          <w:b/>
          <w:bCs/>
          <w:i/>
        </w:rPr>
        <w:t xml:space="preserve">Risk </w:t>
      </w:r>
      <w:r w:rsidR="00A051E7" w:rsidRPr="000F68E6">
        <w:rPr>
          <w:b/>
          <w:bCs/>
          <w:i/>
        </w:rPr>
        <w:t>imagination</w:t>
      </w:r>
      <w:r w:rsidRPr="000F68E6">
        <w:rPr>
          <w:b/>
          <w:bCs/>
        </w:rPr>
        <w:t>:</w:t>
      </w:r>
      <w:r>
        <w:t xml:space="preserve"> Managers will have the discretion to define organisational risks, thereby helping to ensure a broad organisational ‘risk imagination’.</w:t>
      </w:r>
      <w:r w:rsidR="000F68E6">
        <w:t xml:space="preserve"> </w:t>
      </w:r>
    </w:p>
    <w:p w14:paraId="57928E84" w14:textId="77777777" w:rsidR="000F68E6" w:rsidRDefault="00D955EA" w:rsidP="000F68E6">
      <w:pPr>
        <w:pStyle w:val="ListParagraph"/>
        <w:numPr>
          <w:ilvl w:val="0"/>
          <w:numId w:val="36"/>
        </w:numPr>
        <w:spacing w:after="240" w:line="276" w:lineRule="auto"/>
      </w:pPr>
      <w:r w:rsidRPr="000F68E6">
        <w:rPr>
          <w:b/>
          <w:bCs/>
          <w:i/>
        </w:rPr>
        <w:t xml:space="preserve">Risk </w:t>
      </w:r>
      <w:r w:rsidR="00A051E7" w:rsidRPr="000F68E6">
        <w:rPr>
          <w:b/>
          <w:bCs/>
          <w:i/>
        </w:rPr>
        <w:t>owners and managers</w:t>
      </w:r>
      <w:r w:rsidRPr="000F68E6">
        <w:rPr>
          <w:b/>
          <w:bCs/>
        </w:rPr>
        <w:t>:</w:t>
      </w:r>
      <w:r>
        <w:t xml:space="preserve"> Organisational risks will each have an individual, named, </w:t>
      </w:r>
      <w:r w:rsidR="00A051E7">
        <w:t>risk owner (executive level) and risk manager identified</w:t>
      </w:r>
      <w:r>
        <w:t>.</w:t>
      </w:r>
      <w:r w:rsidR="000F68E6">
        <w:t xml:space="preserve"> </w:t>
      </w:r>
    </w:p>
    <w:p w14:paraId="20133970" w14:textId="77777777" w:rsidR="000F68E6" w:rsidRDefault="00D955EA" w:rsidP="000F68E6">
      <w:pPr>
        <w:pStyle w:val="ListParagraph"/>
        <w:numPr>
          <w:ilvl w:val="0"/>
          <w:numId w:val="36"/>
        </w:numPr>
        <w:spacing w:after="240" w:line="276" w:lineRule="auto"/>
        <w:rPr>
          <w:b/>
          <w:bCs/>
          <w:i/>
          <w:iCs/>
        </w:rPr>
      </w:pPr>
      <w:r w:rsidRPr="000F68E6">
        <w:rPr>
          <w:b/>
          <w:bCs/>
          <w:i/>
        </w:rPr>
        <w:t>Indicators</w:t>
      </w:r>
      <w:r w:rsidRPr="000F68E6">
        <w:rPr>
          <w:b/>
          <w:bCs/>
        </w:rPr>
        <w:t>:</w:t>
      </w:r>
      <w:r>
        <w:t xml:space="preserve"> Valid and reliable data will be utilised to provide early indications of changes in the institution’s risk exposure.</w:t>
      </w:r>
      <w:r w:rsidR="000F68E6" w:rsidRPr="000F68E6">
        <w:rPr>
          <w:b/>
          <w:bCs/>
          <w:i/>
          <w:iCs/>
        </w:rPr>
        <w:t xml:space="preserve"> </w:t>
      </w:r>
    </w:p>
    <w:p w14:paraId="586FEEC9" w14:textId="2C0B6EED" w:rsidR="000F68E6" w:rsidRDefault="000F68E6" w:rsidP="000F68E6">
      <w:pPr>
        <w:pStyle w:val="ListParagraph"/>
        <w:numPr>
          <w:ilvl w:val="0"/>
          <w:numId w:val="36"/>
        </w:numPr>
        <w:spacing w:after="240" w:line="276" w:lineRule="auto"/>
      </w:pPr>
      <w:r w:rsidRPr="000F68E6">
        <w:rPr>
          <w:b/>
          <w:bCs/>
          <w:i/>
          <w:iCs/>
        </w:rPr>
        <w:t>A living document:</w:t>
      </w:r>
      <w:r>
        <w:t xml:space="preserve"> Risk registers are a living document and help decision-making process.</w:t>
      </w:r>
    </w:p>
    <w:p w14:paraId="4FE42255" w14:textId="77777777" w:rsidR="000F68E6" w:rsidRDefault="000F68E6" w:rsidP="000F68E6">
      <w:pPr>
        <w:pStyle w:val="ListParagraph"/>
        <w:spacing w:after="240" w:line="276" w:lineRule="auto"/>
        <w:ind w:left="360"/>
      </w:pPr>
    </w:p>
    <w:p w14:paraId="419CAD00" w14:textId="159DF1CD" w:rsidR="00880512" w:rsidRDefault="000F68E6" w:rsidP="000F68E6">
      <w:pPr>
        <w:pStyle w:val="ListParagraph"/>
        <w:numPr>
          <w:ilvl w:val="1"/>
          <w:numId w:val="22"/>
        </w:numPr>
        <w:spacing w:after="240" w:line="276" w:lineRule="auto"/>
      </w:pPr>
      <w:r>
        <w:t>There are significant advantages to be gained from engaging organisational risk management as part of a holistic approach which integrates with strategic planning and performance management. In taking this approach we aim to:</w:t>
      </w:r>
    </w:p>
    <w:p w14:paraId="406B2E79" w14:textId="77777777" w:rsidR="000F68E6" w:rsidRDefault="000F68E6" w:rsidP="000F68E6">
      <w:pPr>
        <w:pStyle w:val="ListParagraph"/>
        <w:numPr>
          <w:ilvl w:val="0"/>
          <w:numId w:val="37"/>
        </w:numPr>
        <w:spacing w:line="276" w:lineRule="auto"/>
      </w:pPr>
      <w:r>
        <w:t>Protect value by minimising losses, adverse events and reputational damage;</w:t>
      </w:r>
    </w:p>
    <w:p w14:paraId="6AE2C068" w14:textId="77777777" w:rsidR="000F68E6" w:rsidRDefault="000F68E6" w:rsidP="000F68E6">
      <w:pPr>
        <w:pStyle w:val="ListParagraph"/>
        <w:numPr>
          <w:ilvl w:val="0"/>
          <w:numId w:val="37"/>
        </w:numPr>
        <w:spacing w:line="276" w:lineRule="auto"/>
      </w:pPr>
      <w:r w:rsidRPr="00B63D96">
        <w:t>Protect</w:t>
      </w:r>
      <w:r>
        <w:t xml:space="preserve"> </w:t>
      </w:r>
      <w:r w:rsidRPr="00B63D96">
        <w:t>and enhance value by strengthening strategy formulation</w:t>
      </w:r>
      <w:r>
        <w:t xml:space="preserve"> and </w:t>
      </w:r>
      <w:r w:rsidRPr="00B63D96">
        <w:t xml:space="preserve">objective setting, </w:t>
      </w:r>
      <w:r>
        <w:t xml:space="preserve">thereby </w:t>
      </w:r>
      <w:r w:rsidRPr="00B63D96">
        <w:t>increasing the likelihood of their achievement;</w:t>
      </w:r>
    </w:p>
    <w:p w14:paraId="17FC3791" w14:textId="77777777" w:rsidR="000F68E6" w:rsidRDefault="000F68E6" w:rsidP="000F68E6">
      <w:pPr>
        <w:pStyle w:val="ListParagraph"/>
        <w:numPr>
          <w:ilvl w:val="0"/>
          <w:numId w:val="37"/>
        </w:numPr>
        <w:spacing w:line="276" w:lineRule="auto"/>
      </w:pPr>
      <w:r>
        <w:t xml:space="preserve">Protect and </w:t>
      </w:r>
      <w:r w:rsidRPr="002B491F">
        <w:t>enhance</w:t>
      </w:r>
      <w:r>
        <w:t xml:space="preserve"> value by strengthening strategy implementation and providing a more reliable basis for proactive decision-making and resource allocation; </w:t>
      </w:r>
    </w:p>
    <w:p w14:paraId="41EC6ACD" w14:textId="77777777" w:rsidR="000F68E6" w:rsidRDefault="000F68E6" w:rsidP="000F68E6">
      <w:pPr>
        <w:pStyle w:val="ListParagraph"/>
        <w:numPr>
          <w:ilvl w:val="0"/>
          <w:numId w:val="37"/>
        </w:numPr>
        <w:spacing w:line="276" w:lineRule="auto"/>
        <w:jc w:val="both"/>
      </w:pPr>
      <w:r>
        <w:t>Enhance governance.</w:t>
      </w:r>
    </w:p>
    <w:p w14:paraId="6F5B0665" w14:textId="77777777" w:rsidR="000F68E6" w:rsidRDefault="000F68E6" w:rsidP="000F68E6">
      <w:pPr>
        <w:pStyle w:val="ListParagraph"/>
        <w:spacing w:after="240" w:line="276" w:lineRule="auto"/>
        <w:ind w:left="360"/>
      </w:pPr>
    </w:p>
    <w:p w14:paraId="2245EB4E" w14:textId="189221CA" w:rsidR="000F68E6" w:rsidRDefault="00461E10" w:rsidP="000F68E6">
      <w:pPr>
        <w:pStyle w:val="ListParagraph"/>
        <w:numPr>
          <w:ilvl w:val="1"/>
          <w:numId w:val="22"/>
        </w:numPr>
        <w:spacing w:after="240" w:line="276" w:lineRule="auto"/>
      </w:pPr>
      <w:r>
        <w:t>The mechanisms through which the University will manage its risks include:</w:t>
      </w:r>
    </w:p>
    <w:p w14:paraId="752E7D63" w14:textId="77777777" w:rsidR="00D955EA" w:rsidRDefault="00D955EA" w:rsidP="00D955EA">
      <w:pPr>
        <w:pStyle w:val="ListParagraph"/>
        <w:numPr>
          <w:ilvl w:val="0"/>
          <w:numId w:val="6"/>
        </w:numPr>
        <w:spacing w:line="276" w:lineRule="auto"/>
      </w:pPr>
      <w:r>
        <w:t xml:space="preserve">Ensuring that an organisational risk assessment is included as part of its normal due diligence processes where </w:t>
      </w:r>
      <w:r w:rsidRPr="00870245">
        <w:t xml:space="preserve">decisions have </w:t>
      </w:r>
      <w:r>
        <w:t xml:space="preserve">a </w:t>
      </w:r>
      <w:r w:rsidRPr="00870245">
        <w:t>significant</w:t>
      </w:r>
      <w:r>
        <w:t xml:space="preserve"> reputational or financial risk.</w:t>
      </w:r>
    </w:p>
    <w:p w14:paraId="307FAC1B" w14:textId="44F1ABA1" w:rsidR="0061388A" w:rsidRDefault="00D955EA" w:rsidP="0061388A">
      <w:pPr>
        <w:pStyle w:val="ListParagraph"/>
        <w:numPr>
          <w:ilvl w:val="0"/>
          <w:numId w:val="6"/>
        </w:numPr>
        <w:spacing w:line="276" w:lineRule="auto"/>
      </w:pPr>
      <w:r>
        <w:t xml:space="preserve">Maintaining a University </w:t>
      </w:r>
      <w:r w:rsidR="00A051E7">
        <w:t xml:space="preserve">risk register </w:t>
      </w:r>
      <w:r>
        <w:t xml:space="preserve">and local divisional  </w:t>
      </w:r>
      <w:r w:rsidR="00A051E7">
        <w:t xml:space="preserve">risk registers </w:t>
      </w:r>
      <w:r>
        <w:t>(i.e. at the level of individual Schools and Professional Services).</w:t>
      </w:r>
    </w:p>
    <w:p w14:paraId="05D2BFA2" w14:textId="57356418" w:rsidR="00864D52" w:rsidRDefault="0061388A" w:rsidP="0061388A">
      <w:pPr>
        <w:pStyle w:val="ListParagraph"/>
        <w:numPr>
          <w:ilvl w:val="0"/>
          <w:numId w:val="6"/>
        </w:numPr>
        <w:spacing w:line="276" w:lineRule="auto"/>
      </w:pPr>
      <w:r>
        <w:t xml:space="preserve">The </w:t>
      </w:r>
      <w:r w:rsidR="00864D52">
        <w:t xml:space="preserve">University </w:t>
      </w:r>
      <w:r w:rsidR="00A051E7">
        <w:t>r</w:t>
      </w:r>
      <w:r w:rsidR="00864D52">
        <w:t xml:space="preserve">isk </w:t>
      </w:r>
      <w:r w:rsidR="00A051E7">
        <w:t>r</w:t>
      </w:r>
      <w:r w:rsidR="00864D52">
        <w:t xml:space="preserve">egister and </w:t>
      </w:r>
      <w:r w:rsidR="00091844">
        <w:t xml:space="preserve">accompanying </w:t>
      </w:r>
      <w:r w:rsidR="00864D52">
        <w:t>risk report</w:t>
      </w:r>
      <w:r w:rsidR="00091844">
        <w:t xml:space="preserve"> will be presented through the University committee cycle for review and approval on a termly basis.</w:t>
      </w:r>
    </w:p>
    <w:p w14:paraId="03F453D2" w14:textId="7BBC7731" w:rsidR="00D955EA" w:rsidRPr="00461E10" w:rsidRDefault="00D955EA" w:rsidP="00461E10">
      <w:pPr>
        <w:pStyle w:val="Heading1"/>
        <w:numPr>
          <w:ilvl w:val="0"/>
          <w:numId w:val="22"/>
        </w:numPr>
        <w:spacing w:before="0" w:line="276" w:lineRule="auto"/>
        <w:ind w:left="426" w:hanging="426"/>
        <w:rPr>
          <w:u w:val="none"/>
        </w:rPr>
      </w:pPr>
      <w:r w:rsidRPr="00461E10">
        <w:rPr>
          <w:u w:val="none"/>
        </w:rPr>
        <w:t>Risk Appetite</w:t>
      </w:r>
      <w:r w:rsidR="003445E8" w:rsidRPr="00461E10">
        <w:rPr>
          <w:u w:val="none"/>
        </w:rPr>
        <w:t xml:space="preserve"> and Tolerance </w:t>
      </w:r>
    </w:p>
    <w:p w14:paraId="5037FF6B" w14:textId="77777777" w:rsidR="00461E10" w:rsidRDefault="0052398F" w:rsidP="00461E10">
      <w:pPr>
        <w:pStyle w:val="ListParagraph"/>
        <w:numPr>
          <w:ilvl w:val="1"/>
          <w:numId w:val="22"/>
        </w:numPr>
        <w:spacing w:after="0" w:line="276" w:lineRule="auto"/>
      </w:pPr>
      <w:r>
        <w:t xml:space="preserve">The University will accept a level of risk proportionate to the expected benefits to be gained, and the scale of likelihood of damage. </w:t>
      </w:r>
      <w:r w:rsidR="00464085">
        <w:t xml:space="preserve">The risk appetite will be aligned with the University’s aims and </w:t>
      </w:r>
      <w:r w:rsidR="00A051E7">
        <w:t>strategic</w:t>
      </w:r>
      <w:r w:rsidR="00464085">
        <w:t xml:space="preserve"> direction. </w:t>
      </w:r>
      <w:r w:rsidR="002F5B97">
        <w:t>The University has a high</w:t>
      </w:r>
      <w:r w:rsidR="00C43CF8">
        <w:t>er</w:t>
      </w:r>
      <w:r w:rsidR="002F5B97">
        <w:t xml:space="preserve"> appetite for risk in the context of strategic development activities, new funding opportunities, improving student experience, innovation</w:t>
      </w:r>
      <w:r w:rsidR="00FD290F">
        <w:t xml:space="preserve">, </w:t>
      </w:r>
      <w:r w:rsidR="002F5B97">
        <w:t>academic freedom</w:t>
      </w:r>
      <w:r w:rsidR="00FD290F">
        <w:t>, and</w:t>
      </w:r>
      <w:r w:rsidR="00995E12">
        <w:t xml:space="preserve"> academic</w:t>
      </w:r>
      <w:r w:rsidR="00FD290F">
        <w:t xml:space="preserve"> expression</w:t>
      </w:r>
      <w:r w:rsidR="002F5B97">
        <w:t>. The University has a low appetite</w:t>
      </w:r>
      <w:r w:rsidR="00FD290F">
        <w:t xml:space="preserve"> for risk where there’s a likelihood of serious reputational damage</w:t>
      </w:r>
      <w:r w:rsidR="00533455">
        <w:t>;</w:t>
      </w:r>
      <w:r w:rsidR="00FD290F">
        <w:t xml:space="preserve"> significant </w:t>
      </w:r>
      <w:r w:rsidR="00533455">
        <w:t xml:space="preserve">lasting </w:t>
      </w:r>
      <w:r w:rsidR="00FD290F">
        <w:t xml:space="preserve">damage to its </w:t>
      </w:r>
      <w:r w:rsidR="00FD290F">
        <w:lastRenderedPageBreak/>
        <w:t>research and teaching</w:t>
      </w:r>
      <w:r w:rsidR="00533455">
        <w:t>; cyber security;</w:t>
      </w:r>
      <w:r w:rsidR="00FD290F">
        <w:t xml:space="preserve"> significant financial loss</w:t>
      </w:r>
      <w:r w:rsidR="00533455">
        <w:t>;</w:t>
      </w:r>
      <w:r w:rsidR="00FD290F">
        <w:t xml:space="preserve"> harm to sta</w:t>
      </w:r>
      <w:r w:rsidR="00533455">
        <w:t>ff, students</w:t>
      </w:r>
      <w:r w:rsidR="008C4FBC">
        <w:t>,</w:t>
      </w:r>
      <w:r w:rsidR="00533455">
        <w:t xml:space="preserve"> or visitors; </w:t>
      </w:r>
      <w:r w:rsidR="00A051E7">
        <w:t>i</w:t>
      </w:r>
      <w:r w:rsidR="00533455">
        <w:t xml:space="preserve">llegal or unethical activity; and regulatory compliance. </w:t>
      </w:r>
    </w:p>
    <w:p w14:paraId="2CD5A5EA" w14:textId="77777777" w:rsidR="00461E10" w:rsidRDefault="00461E10" w:rsidP="00461E10">
      <w:pPr>
        <w:pStyle w:val="ListParagraph"/>
        <w:spacing w:after="0" w:line="276" w:lineRule="auto"/>
        <w:ind w:left="360"/>
      </w:pPr>
    </w:p>
    <w:p w14:paraId="0B05C16D" w14:textId="14525F92" w:rsidR="00D955EA" w:rsidRDefault="00D955EA" w:rsidP="00461E10">
      <w:pPr>
        <w:pStyle w:val="ListParagraph"/>
        <w:numPr>
          <w:ilvl w:val="1"/>
          <w:numId w:val="22"/>
        </w:numPr>
        <w:spacing w:after="0" w:line="276" w:lineRule="auto"/>
      </w:pPr>
      <w:r>
        <w:t>This will be articulated within a University Risk Appetite and Tolerance Statement agreed annually at the beginning of each academic year by the Board of Governors.</w:t>
      </w:r>
      <w:r w:rsidR="00461E10">
        <w:t xml:space="preserve"> </w:t>
      </w:r>
      <w:r>
        <w:t>The Statement will include:</w:t>
      </w:r>
    </w:p>
    <w:p w14:paraId="27E2905F" w14:textId="620C37C1" w:rsidR="00D955EA" w:rsidRDefault="00D955EA" w:rsidP="00D955EA">
      <w:pPr>
        <w:pStyle w:val="ListParagraph"/>
        <w:numPr>
          <w:ilvl w:val="0"/>
          <w:numId w:val="14"/>
        </w:numPr>
        <w:spacing w:after="0" w:line="276" w:lineRule="auto"/>
        <w:ind w:left="1134" w:hanging="425"/>
      </w:pPr>
      <w:r>
        <w:t xml:space="preserve">The assignment of a </w:t>
      </w:r>
      <w:r w:rsidR="00461E10">
        <w:t>r</w:t>
      </w:r>
      <w:r>
        <w:t xml:space="preserve">isk </w:t>
      </w:r>
      <w:r w:rsidR="00461E10">
        <w:t>a</w:t>
      </w:r>
      <w:r>
        <w:t xml:space="preserve">ppetite classification to </w:t>
      </w:r>
      <w:r w:rsidR="00461E10">
        <w:t>k</w:t>
      </w:r>
      <w:r>
        <w:t xml:space="preserve">ey </w:t>
      </w:r>
      <w:r w:rsidR="00461E10">
        <w:t>r</w:t>
      </w:r>
      <w:r>
        <w:t xml:space="preserve">isk </w:t>
      </w:r>
      <w:r w:rsidR="00461E10">
        <w:t>a</w:t>
      </w:r>
      <w:r>
        <w:t xml:space="preserve">reas. Key </w:t>
      </w:r>
      <w:r w:rsidR="00461E10">
        <w:t>r</w:t>
      </w:r>
      <w:r>
        <w:t xml:space="preserve">isk </w:t>
      </w:r>
      <w:r w:rsidR="00461E10">
        <w:t>a</w:t>
      </w:r>
      <w:r>
        <w:t>reas will be determined on an annual basis and will be aligned with the University’s aims and desired future state or direction.</w:t>
      </w:r>
    </w:p>
    <w:p w14:paraId="7D03EC66" w14:textId="114DBFA7" w:rsidR="00D955EA" w:rsidRDefault="00D955EA" w:rsidP="00D955EA">
      <w:pPr>
        <w:pStyle w:val="ListParagraph"/>
        <w:numPr>
          <w:ilvl w:val="0"/>
          <w:numId w:val="14"/>
        </w:numPr>
        <w:spacing w:line="276" w:lineRule="auto"/>
        <w:ind w:left="1134" w:hanging="425"/>
      </w:pPr>
      <w:r>
        <w:t>The specification of corporate level Risk Tolerances which will include both quantitative and observable qualitative tolerances.</w:t>
      </w:r>
    </w:p>
    <w:p w14:paraId="1A911119" w14:textId="614E39AE" w:rsidR="00D955EA" w:rsidRDefault="00D955EA" w:rsidP="00D955EA">
      <w:pPr>
        <w:pStyle w:val="ListParagraph"/>
        <w:spacing w:line="276" w:lineRule="auto"/>
        <w:ind w:left="709" w:hanging="567"/>
      </w:pPr>
    </w:p>
    <w:p w14:paraId="61F2E7B7" w14:textId="2DE30BC8" w:rsidR="00461E10" w:rsidRDefault="00D955EA" w:rsidP="00461E10">
      <w:pPr>
        <w:pStyle w:val="ListParagraph"/>
        <w:numPr>
          <w:ilvl w:val="1"/>
          <w:numId w:val="22"/>
        </w:numPr>
        <w:spacing w:after="0" w:line="276" w:lineRule="auto"/>
      </w:pPr>
      <w:r>
        <w:t xml:space="preserve">When setting the </w:t>
      </w:r>
      <w:r w:rsidR="00461E10">
        <w:t>r</w:t>
      </w:r>
      <w:r>
        <w:t xml:space="preserve">isk </w:t>
      </w:r>
      <w:r w:rsidR="00461E10">
        <w:t>a</w:t>
      </w:r>
      <w:r>
        <w:t xml:space="preserve">ppetite, the University will assign one of the following classifications to each </w:t>
      </w:r>
      <w:r w:rsidR="00461E10">
        <w:t>k</w:t>
      </w:r>
      <w:r>
        <w:t xml:space="preserve">ey </w:t>
      </w:r>
      <w:r w:rsidR="00461E10">
        <w:t>r</w:t>
      </w:r>
      <w:r>
        <w:t xml:space="preserve">isk </w:t>
      </w:r>
      <w:r w:rsidR="00461E10">
        <w:t>a</w:t>
      </w:r>
      <w:r>
        <w:t>rea:</w:t>
      </w:r>
    </w:p>
    <w:p w14:paraId="0BE3CFD2" w14:textId="77777777" w:rsidR="00D955EA" w:rsidRDefault="00D955EA" w:rsidP="00D955EA">
      <w:pPr>
        <w:pStyle w:val="ListParagraph"/>
        <w:numPr>
          <w:ilvl w:val="0"/>
          <w:numId w:val="4"/>
        </w:numPr>
        <w:spacing w:line="276" w:lineRule="auto"/>
        <w:ind w:left="1134" w:hanging="425"/>
      </w:pPr>
      <w:r w:rsidRPr="009E5C62">
        <w:rPr>
          <w:b/>
          <w:bCs/>
          <w:i/>
        </w:rPr>
        <w:t>Averse</w:t>
      </w:r>
      <w:r>
        <w:t xml:space="preserve"> – avoidance of risk and uncertainty is key.</w:t>
      </w:r>
    </w:p>
    <w:p w14:paraId="00146DB2" w14:textId="77777777" w:rsidR="00D955EA" w:rsidRDefault="00D955EA" w:rsidP="00D955EA">
      <w:pPr>
        <w:pStyle w:val="ListParagraph"/>
        <w:numPr>
          <w:ilvl w:val="0"/>
          <w:numId w:val="4"/>
        </w:numPr>
        <w:spacing w:line="276" w:lineRule="auto"/>
        <w:ind w:left="1134" w:hanging="425"/>
      </w:pPr>
      <w:r w:rsidRPr="009E5C62">
        <w:rPr>
          <w:b/>
          <w:bCs/>
          <w:i/>
        </w:rPr>
        <w:t>Cautious</w:t>
      </w:r>
      <w:r>
        <w:t xml:space="preserve"> – preference for safer options that have a low degree of inherent risk and may only have limited potential for reward.</w:t>
      </w:r>
    </w:p>
    <w:p w14:paraId="4A3673D3" w14:textId="77777777" w:rsidR="00D955EA" w:rsidRDefault="00D955EA" w:rsidP="00D955EA">
      <w:pPr>
        <w:pStyle w:val="ListParagraph"/>
        <w:numPr>
          <w:ilvl w:val="0"/>
          <w:numId w:val="4"/>
        </w:numPr>
        <w:spacing w:line="276" w:lineRule="auto"/>
        <w:ind w:left="1134" w:hanging="425"/>
      </w:pPr>
      <w:r w:rsidRPr="009E5C62">
        <w:rPr>
          <w:b/>
          <w:bCs/>
          <w:i/>
        </w:rPr>
        <w:t>Open</w:t>
      </w:r>
      <w:r>
        <w:t xml:space="preserve"> – willing to consider all potential options and choose the one most likely to result in successful delivery, while also providing an acceptable level of reward and value for money.</w:t>
      </w:r>
    </w:p>
    <w:p w14:paraId="5B735747" w14:textId="77777777" w:rsidR="00D955EA" w:rsidRDefault="00D955EA" w:rsidP="00D955EA">
      <w:pPr>
        <w:pStyle w:val="ListParagraph"/>
        <w:numPr>
          <w:ilvl w:val="0"/>
          <w:numId w:val="4"/>
        </w:numPr>
        <w:spacing w:after="0" w:line="276" w:lineRule="auto"/>
        <w:ind w:left="1134" w:hanging="425"/>
      </w:pPr>
      <w:r w:rsidRPr="009E5C62">
        <w:rPr>
          <w:b/>
          <w:bCs/>
          <w:i/>
        </w:rPr>
        <w:t>Hungry</w:t>
      </w:r>
      <w:r>
        <w:t xml:space="preserve"> – eager to be innovative and to choose options offering potentially higher business rewards, despite greater inherent risk.</w:t>
      </w:r>
    </w:p>
    <w:p w14:paraId="3ED209F3" w14:textId="77777777" w:rsidR="00C72842" w:rsidRDefault="00C72842" w:rsidP="00D955EA">
      <w:pPr>
        <w:spacing w:after="0" w:line="276" w:lineRule="auto"/>
        <w:ind w:firstLine="360"/>
      </w:pPr>
    </w:p>
    <w:p w14:paraId="23E1658C" w14:textId="66D0F57D" w:rsidR="00461E10" w:rsidRDefault="00D955EA" w:rsidP="00461E10">
      <w:pPr>
        <w:pStyle w:val="ListParagraph"/>
        <w:numPr>
          <w:ilvl w:val="1"/>
          <w:numId w:val="22"/>
        </w:numPr>
        <w:spacing w:after="0" w:line="276" w:lineRule="auto"/>
      </w:pPr>
      <w:r>
        <w:t xml:space="preserve">The University’s </w:t>
      </w:r>
      <w:r w:rsidR="00461E10">
        <w:t>r</w:t>
      </w:r>
      <w:r>
        <w:t xml:space="preserve">isk </w:t>
      </w:r>
      <w:r w:rsidR="00461E10">
        <w:t>a</w:t>
      </w:r>
      <w:r>
        <w:t>ppetite:</w:t>
      </w:r>
    </w:p>
    <w:p w14:paraId="75B120F9" w14:textId="5F46AF62" w:rsidR="00D955EA" w:rsidRDefault="00D955EA" w:rsidP="00A77C63">
      <w:pPr>
        <w:pStyle w:val="ListParagraph"/>
        <w:numPr>
          <w:ilvl w:val="0"/>
          <w:numId w:val="40"/>
        </w:numPr>
        <w:spacing w:line="276" w:lineRule="auto"/>
      </w:pPr>
      <w:r>
        <w:t xml:space="preserve">is related to the pursuit of </w:t>
      </w:r>
      <w:r w:rsidR="00B9116D">
        <w:t xml:space="preserve">the </w:t>
      </w:r>
      <w:r>
        <w:t>University</w:t>
      </w:r>
      <w:r w:rsidR="009E5C62">
        <w:t>’s</w:t>
      </w:r>
      <w:r>
        <w:t xml:space="preserve"> objectives and its strategic direction as outlined within the </w:t>
      </w:r>
      <w:r w:rsidR="00461E10">
        <w:t>s</w:t>
      </w:r>
      <w:r>
        <w:t xml:space="preserve">trategic </w:t>
      </w:r>
      <w:r w:rsidR="00461E10">
        <w:t>p</w:t>
      </w:r>
      <w:r>
        <w:t>lan;</w:t>
      </w:r>
    </w:p>
    <w:p w14:paraId="274AEAAB" w14:textId="77777777" w:rsidR="00D955EA" w:rsidRDefault="00D955EA" w:rsidP="00A77C63">
      <w:pPr>
        <w:pStyle w:val="ListParagraph"/>
        <w:numPr>
          <w:ilvl w:val="0"/>
          <w:numId w:val="40"/>
        </w:numPr>
        <w:spacing w:line="276" w:lineRule="auto"/>
      </w:pPr>
      <w:r>
        <w:t>is a fundamental part of the University’s overall governance arrangements;</w:t>
      </w:r>
    </w:p>
    <w:p w14:paraId="00195F7E" w14:textId="77777777" w:rsidR="00D955EA" w:rsidRDefault="00D955EA" w:rsidP="00A77C63">
      <w:pPr>
        <w:pStyle w:val="ListParagraph"/>
        <w:numPr>
          <w:ilvl w:val="0"/>
          <w:numId w:val="40"/>
        </w:numPr>
        <w:spacing w:line="276" w:lineRule="auto"/>
      </w:pPr>
      <w:r>
        <w:t>guides the allocation of resources at a strategic level;</w:t>
      </w:r>
    </w:p>
    <w:p w14:paraId="68710F2E" w14:textId="77777777" w:rsidR="00D955EA" w:rsidRDefault="00D955EA" w:rsidP="00A77C63">
      <w:pPr>
        <w:pStyle w:val="ListParagraph"/>
        <w:numPr>
          <w:ilvl w:val="0"/>
          <w:numId w:val="40"/>
        </w:numPr>
        <w:spacing w:line="276" w:lineRule="auto"/>
      </w:pPr>
      <w:r>
        <w:t>influences managers’ attitudes to risk and their objectives; and</w:t>
      </w:r>
    </w:p>
    <w:p w14:paraId="54605092" w14:textId="77777777" w:rsidR="00D955EA" w:rsidRDefault="00D955EA" w:rsidP="00A77C63">
      <w:pPr>
        <w:pStyle w:val="ListParagraph"/>
        <w:numPr>
          <w:ilvl w:val="0"/>
          <w:numId w:val="40"/>
        </w:numPr>
        <w:spacing w:after="0" w:line="276" w:lineRule="auto"/>
      </w:pPr>
      <w:r>
        <w:t xml:space="preserve">drives the management of the University’s risks. </w:t>
      </w:r>
    </w:p>
    <w:p w14:paraId="0DFFD7FE" w14:textId="77777777" w:rsidR="00D955EA" w:rsidRDefault="00D955EA" w:rsidP="00D955EA">
      <w:pPr>
        <w:spacing w:after="0" w:line="276" w:lineRule="auto"/>
        <w:jc w:val="both"/>
      </w:pPr>
    </w:p>
    <w:p w14:paraId="7EA71A51" w14:textId="77777777" w:rsidR="00461E10" w:rsidRDefault="00D955EA" w:rsidP="00461E10">
      <w:pPr>
        <w:pStyle w:val="ListParagraph"/>
        <w:numPr>
          <w:ilvl w:val="1"/>
          <w:numId w:val="22"/>
        </w:numPr>
        <w:spacing w:after="0" w:line="276" w:lineRule="auto"/>
      </w:pPr>
      <w:r>
        <w:t>The University makes a clear distinction between having an appetite to consider and adopt different options to achieve its objectives, and the level of risk appetite that is acceptable when it is implementing any chosen option.</w:t>
      </w:r>
    </w:p>
    <w:p w14:paraId="51745766" w14:textId="6BA980F2" w:rsidR="00D955EA" w:rsidRDefault="00D955EA" w:rsidP="00461E10">
      <w:pPr>
        <w:pStyle w:val="ListParagraph"/>
        <w:spacing w:after="0" w:line="276" w:lineRule="auto"/>
        <w:ind w:left="709"/>
      </w:pPr>
    </w:p>
    <w:p w14:paraId="25A0356C" w14:textId="77777777" w:rsidR="00461E10" w:rsidRDefault="00D955EA" w:rsidP="00461E10">
      <w:pPr>
        <w:pStyle w:val="ListParagraph"/>
        <w:numPr>
          <w:ilvl w:val="1"/>
          <w:numId w:val="22"/>
        </w:numPr>
        <w:spacing w:after="0" w:line="276" w:lineRule="auto"/>
      </w:pPr>
      <w:r w:rsidRPr="00461E10">
        <w:rPr>
          <w:rFonts w:cs="Arial"/>
        </w:rPr>
        <w:t xml:space="preserve">The Board of Governors may agree specific Risk Tolerances. These represent an acceptable level of variation relative to the achievement of a specific objective. </w:t>
      </w:r>
    </w:p>
    <w:p w14:paraId="655CB0F6" w14:textId="0E2E2DD4" w:rsidR="00D955EA" w:rsidRDefault="00D955EA" w:rsidP="00461E10">
      <w:pPr>
        <w:spacing w:after="0" w:line="276" w:lineRule="auto"/>
      </w:pPr>
    </w:p>
    <w:p w14:paraId="671FF214" w14:textId="77777777" w:rsidR="00461E10" w:rsidRDefault="00D955EA" w:rsidP="00461E10">
      <w:pPr>
        <w:pStyle w:val="ListParagraph"/>
        <w:numPr>
          <w:ilvl w:val="1"/>
          <w:numId w:val="22"/>
        </w:numPr>
        <w:spacing w:after="0" w:line="276" w:lineRule="auto"/>
      </w:pPr>
      <w:r>
        <w:t xml:space="preserve">The University Risk Appetite and Tolerance Statement can be found at Appendix </w:t>
      </w:r>
      <w:r w:rsidR="00B9116D">
        <w:t>A</w:t>
      </w:r>
      <w:r>
        <w:t>.</w:t>
      </w:r>
    </w:p>
    <w:p w14:paraId="1793823B" w14:textId="4F96C6A0" w:rsidR="00777604" w:rsidRDefault="00777604" w:rsidP="00461E10">
      <w:pPr>
        <w:pStyle w:val="ListParagraph"/>
        <w:spacing w:after="0" w:line="276" w:lineRule="auto"/>
        <w:ind w:left="709"/>
        <w:jc w:val="both"/>
      </w:pPr>
    </w:p>
    <w:p w14:paraId="02DE7A03" w14:textId="4C80B70B" w:rsidR="00461E10" w:rsidRPr="00A77C63" w:rsidRDefault="00D955EA" w:rsidP="00461E10">
      <w:pPr>
        <w:pStyle w:val="Heading1"/>
        <w:numPr>
          <w:ilvl w:val="0"/>
          <w:numId w:val="22"/>
        </w:numPr>
        <w:spacing w:before="0" w:line="276" w:lineRule="auto"/>
        <w:ind w:left="426" w:hanging="426"/>
        <w:rPr>
          <w:u w:val="none"/>
        </w:rPr>
      </w:pPr>
      <w:r w:rsidRPr="00A77C63">
        <w:rPr>
          <w:u w:val="none"/>
        </w:rPr>
        <w:t>Risk</w:t>
      </w:r>
      <w:r w:rsidR="00461E10" w:rsidRPr="00A77C63">
        <w:rPr>
          <w:u w:val="none"/>
        </w:rPr>
        <w:t xml:space="preserve"> </w:t>
      </w:r>
      <w:r w:rsidR="005B3192" w:rsidRPr="00A77C63">
        <w:rPr>
          <w:u w:val="none"/>
        </w:rPr>
        <w:t>analysis</w:t>
      </w:r>
    </w:p>
    <w:p w14:paraId="51E13EED" w14:textId="33B29D12" w:rsidR="00A77C63" w:rsidRDefault="00777604" w:rsidP="00A77C63">
      <w:pPr>
        <w:pStyle w:val="ListParagraph"/>
        <w:numPr>
          <w:ilvl w:val="1"/>
          <w:numId w:val="22"/>
        </w:numPr>
        <w:spacing w:after="0" w:line="276" w:lineRule="auto"/>
      </w:pPr>
      <w:r>
        <w:t xml:space="preserve">A risk is assessed and analysed by using </w:t>
      </w:r>
      <w:r w:rsidR="001831FF">
        <w:t>a risk scoring matrix</w:t>
      </w:r>
      <w:r w:rsidR="00D33250">
        <w:t xml:space="preserve"> </w:t>
      </w:r>
      <w:r w:rsidR="0067235F">
        <w:t xml:space="preserve">which can be found at </w:t>
      </w:r>
      <w:r w:rsidR="00D33250">
        <w:t xml:space="preserve">Appendix </w:t>
      </w:r>
      <w:r w:rsidR="00205ED2">
        <w:t>A</w:t>
      </w:r>
      <w:r w:rsidR="001831FF">
        <w:t xml:space="preserve">. Using a scoring matrix </w:t>
      </w:r>
      <w:r w:rsidR="00B9116D">
        <w:t xml:space="preserve">standardises scoring and </w:t>
      </w:r>
      <w:r w:rsidR="001831FF">
        <w:t>helps to limit subjectivity. The University uses a 5x5 system for scoring</w:t>
      </w:r>
      <w:r w:rsidR="00B9116D">
        <w:t xml:space="preserve"> matrix</w:t>
      </w:r>
      <w:r w:rsidR="00A77C63">
        <w:t>:</w:t>
      </w:r>
    </w:p>
    <w:p w14:paraId="662DF4FA" w14:textId="529EEABA" w:rsidR="00A77C63" w:rsidRDefault="001831FF" w:rsidP="00A77C63">
      <w:pPr>
        <w:pStyle w:val="ListParagraph"/>
        <w:numPr>
          <w:ilvl w:val="0"/>
          <w:numId w:val="38"/>
        </w:numPr>
        <w:spacing w:line="276" w:lineRule="auto"/>
      </w:pPr>
      <w:r w:rsidRPr="00A77C63">
        <w:rPr>
          <w:b/>
          <w:bCs/>
          <w:i/>
          <w:iCs/>
        </w:rPr>
        <w:t>Impact:</w:t>
      </w:r>
      <w:r>
        <w:t xml:space="preserve"> A score of 1 to 5 is applied according to the severity of the impact if the risk was to materialise. </w:t>
      </w:r>
      <w:r w:rsidR="00D33250">
        <w:t xml:space="preserve">(The impact scoring guidance can be seen in </w:t>
      </w:r>
      <w:r w:rsidR="00B9116D">
        <w:t>A</w:t>
      </w:r>
      <w:r w:rsidR="00D33250">
        <w:t xml:space="preserve">ppendix </w:t>
      </w:r>
      <w:r w:rsidR="00205ED2">
        <w:t>A</w:t>
      </w:r>
      <w:r w:rsidR="00D33250">
        <w:t xml:space="preserve">). </w:t>
      </w:r>
    </w:p>
    <w:p w14:paraId="2656FC63" w14:textId="4B2D8518" w:rsidR="00A77C63" w:rsidRDefault="00D33250" w:rsidP="00A77C63">
      <w:pPr>
        <w:pStyle w:val="ListParagraph"/>
        <w:numPr>
          <w:ilvl w:val="0"/>
          <w:numId w:val="38"/>
        </w:numPr>
        <w:spacing w:line="276" w:lineRule="auto"/>
      </w:pPr>
      <w:r w:rsidRPr="00A77C63">
        <w:rPr>
          <w:b/>
          <w:bCs/>
          <w:i/>
          <w:iCs/>
        </w:rPr>
        <w:t>Likelihood:</w:t>
      </w:r>
      <w:r>
        <w:t xml:space="preserve"> A score of 1 to 5 is applied according to the probability of the risk happening. (The likelihood scoring guidance can be seen in </w:t>
      </w:r>
      <w:r w:rsidR="00B9116D">
        <w:t>A</w:t>
      </w:r>
      <w:r>
        <w:t xml:space="preserve">ppendix </w:t>
      </w:r>
      <w:r w:rsidR="00205ED2">
        <w:t>A</w:t>
      </w:r>
      <w:r w:rsidR="00A77C63">
        <w:t>).</w:t>
      </w:r>
    </w:p>
    <w:p w14:paraId="23ED3FCD" w14:textId="3D2CDFAD" w:rsidR="00D955EA" w:rsidRDefault="00A77C63" w:rsidP="00A77C63">
      <w:pPr>
        <w:pStyle w:val="ListParagraph"/>
        <w:numPr>
          <w:ilvl w:val="0"/>
          <w:numId w:val="38"/>
        </w:numPr>
        <w:spacing w:line="276" w:lineRule="auto"/>
      </w:pPr>
      <w:r w:rsidRPr="0040290C">
        <w:rPr>
          <w:b/>
          <w:bCs/>
          <w:i/>
          <w:iCs/>
        </w:rPr>
        <w:lastRenderedPageBreak/>
        <w:t>Gross</w:t>
      </w:r>
      <w:r>
        <w:t xml:space="preserve"> </w:t>
      </w:r>
      <w:r w:rsidRPr="00A77C63">
        <w:rPr>
          <w:b/>
          <w:bCs/>
          <w:i/>
          <w:iCs/>
        </w:rPr>
        <w:t>score:</w:t>
      </w:r>
      <w:r>
        <w:t xml:space="preserve"> </w:t>
      </w:r>
      <w:r w:rsidR="00D33250">
        <w:t xml:space="preserve">The likelihood score is multiplied by the impact score to give a </w:t>
      </w:r>
      <w:r w:rsidR="00C503C7">
        <w:t xml:space="preserve">gross </w:t>
      </w:r>
      <w:r w:rsidR="00D33250">
        <w:t>risk score of 1 to</w:t>
      </w:r>
      <w:r w:rsidR="0067235F">
        <w:t xml:space="preserve"> </w:t>
      </w:r>
      <w:r w:rsidR="00D33250">
        <w:t>25.</w:t>
      </w:r>
      <w:r w:rsidR="0067235F">
        <w:t xml:space="preserve"> The risk score can be plotted on the heat map (</w:t>
      </w:r>
      <w:r w:rsidR="00B9116D">
        <w:t>A</w:t>
      </w:r>
      <w:r w:rsidR="0067235F">
        <w:t xml:space="preserve">ppendix </w:t>
      </w:r>
      <w:r w:rsidR="00205ED2">
        <w:t>A</w:t>
      </w:r>
      <w:r w:rsidR="0067235F">
        <w:t>) to determine the severity of the risk and provide the risks status.</w:t>
      </w:r>
      <w:r w:rsidR="00D33250">
        <w:t xml:space="preserve"> </w:t>
      </w:r>
    </w:p>
    <w:p w14:paraId="5FB559BD" w14:textId="77777777" w:rsidR="00D955EA" w:rsidRDefault="00D955EA" w:rsidP="00D955EA">
      <w:pPr>
        <w:pStyle w:val="ListParagraph"/>
        <w:spacing w:line="276" w:lineRule="auto"/>
        <w:ind w:left="1080"/>
      </w:pPr>
    </w:p>
    <w:p w14:paraId="0168280B" w14:textId="77777777" w:rsidR="00A77C63" w:rsidRDefault="00C43CF8" w:rsidP="00A77C63">
      <w:pPr>
        <w:pStyle w:val="ListParagraph"/>
        <w:numPr>
          <w:ilvl w:val="1"/>
          <w:numId w:val="22"/>
        </w:numPr>
        <w:spacing w:after="0" w:line="276" w:lineRule="auto"/>
      </w:pPr>
      <w:r>
        <w:t xml:space="preserve"> </w:t>
      </w:r>
      <w:r w:rsidR="0067235F">
        <w:t>Following a risk</w:t>
      </w:r>
      <w:r w:rsidR="00B8124C">
        <w:t>’</w:t>
      </w:r>
      <w:r w:rsidR="0067235F">
        <w:t xml:space="preserve">s </w:t>
      </w:r>
      <w:r w:rsidR="00C503C7">
        <w:t xml:space="preserve">gross </w:t>
      </w:r>
      <w:r w:rsidR="0067235F">
        <w:t>scoring, the risk owner should decide on appropriate controls for mitigation.</w:t>
      </w:r>
      <w:r w:rsidR="00B8124C">
        <w:t xml:space="preserve"> </w:t>
      </w:r>
      <w:r w:rsidR="0067235F">
        <w:t xml:space="preserve">The University uses the following options: </w:t>
      </w:r>
    </w:p>
    <w:p w14:paraId="14D5972C" w14:textId="77777777" w:rsidR="00A77C63" w:rsidRDefault="00B8124C" w:rsidP="00A77C63">
      <w:pPr>
        <w:pStyle w:val="ListParagraph"/>
        <w:numPr>
          <w:ilvl w:val="0"/>
          <w:numId w:val="41"/>
        </w:numPr>
        <w:spacing w:line="276" w:lineRule="auto"/>
      </w:pPr>
      <w:r w:rsidRPr="00A77C63">
        <w:rPr>
          <w:b/>
          <w:bCs/>
          <w:i/>
          <w:iCs/>
        </w:rPr>
        <w:t>Treat</w:t>
      </w:r>
      <w:r w:rsidRPr="00A77C63">
        <w:rPr>
          <w:i/>
          <w:iCs/>
        </w:rPr>
        <w:t>:</w:t>
      </w:r>
      <w:r>
        <w:t xml:space="preserve"> Take action to reduce the risks likelihood and/or impact by implementing mitigating controls. </w:t>
      </w:r>
    </w:p>
    <w:p w14:paraId="5F64898C" w14:textId="556B6A30" w:rsidR="00A77C63" w:rsidRDefault="00B8124C" w:rsidP="00A77C63">
      <w:pPr>
        <w:pStyle w:val="ListParagraph"/>
        <w:numPr>
          <w:ilvl w:val="0"/>
          <w:numId w:val="41"/>
        </w:numPr>
        <w:spacing w:line="276" w:lineRule="auto"/>
      </w:pPr>
      <w:r w:rsidRPr="00A77C63">
        <w:rPr>
          <w:b/>
          <w:bCs/>
          <w:i/>
          <w:iCs/>
        </w:rPr>
        <w:t>Tolerate</w:t>
      </w:r>
      <w:r w:rsidRPr="00A77C63">
        <w:rPr>
          <w:i/>
          <w:iCs/>
        </w:rPr>
        <w:t>:</w:t>
      </w:r>
      <w:r>
        <w:t xml:space="preserve"> Accept the risk, making sure it is monitored. The current risk exposure is deemed acceptable. </w:t>
      </w:r>
    </w:p>
    <w:p w14:paraId="4D31E8FD" w14:textId="77777777" w:rsidR="00A77C63" w:rsidRDefault="00B8124C" w:rsidP="00A77C63">
      <w:pPr>
        <w:pStyle w:val="ListParagraph"/>
        <w:numPr>
          <w:ilvl w:val="0"/>
          <w:numId w:val="41"/>
        </w:numPr>
        <w:spacing w:line="276" w:lineRule="auto"/>
      </w:pPr>
      <w:r w:rsidRPr="00A77C63">
        <w:rPr>
          <w:b/>
          <w:bCs/>
          <w:i/>
          <w:iCs/>
        </w:rPr>
        <w:t>Terminate</w:t>
      </w:r>
      <w:r w:rsidRPr="00A77C63">
        <w:rPr>
          <w:i/>
          <w:iCs/>
        </w:rPr>
        <w:t>:</w:t>
      </w:r>
      <w:r>
        <w:t xml:space="preserve"> </w:t>
      </w:r>
      <w:r w:rsidR="009D0737">
        <w:t xml:space="preserve">Exit the activities causing the risk as the exposure and risk to the University is deemed unacceptable. </w:t>
      </w:r>
    </w:p>
    <w:p w14:paraId="22A129EC" w14:textId="58E1100F" w:rsidR="00A77C63" w:rsidRDefault="009D0737" w:rsidP="00A77C63">
      <w:pPr>
        <w:pStyle w:val="ListParagraph"/>
        <w:numPr>
          <w:ilvl w:val="0"/>
          <w:numId w:val="41"/>
        </w:numPr>
        <w:spacing w:line="276" w:lineRule="auto"/>
      </w:pPr>
      <w:r w:rsidRPr="00A77C63">
        <w:rPr>
          <w:b/>
          <w:bCs/>
          <w:i/>
          <w:iCs/>
        </w:rPr>
        <w:t>Transfer</w:t>
      </w:r>
      <w:r w:rsidRPr="00A77C63">
        <w:rPr>
          <w:i/>
          <w:iCs/>
        </w:rPr>
        <w:t xml:space="preserve">: </w:t>
      </w:r>
      <w:r>
        <w:t>The risk likelihood and/or impact is reduced by transferring the risk to another part</w:t>
      </w:r>
      <w:r w:rsidR="00460321">
        <w:t>y.</w:t>
      </w:r>
      <w:r w:rsidR="009E4F10">
        <w:t xml:space="preserve"> </w:t>
      </w:r>
    </w:p>
    <w:p w14:paraId="79BA1A51" w14:textId="77777777" w:rsidR="00A77C63" w:rsidRDefault="009E4F10" w:rsidP="00A77C63">
      <w:pPr>
        <w:pStyle w:val="ListParagraph"/>
        <w:numPr>
          <w:ilvl w:val="0"/>
          <w:numId w:val="41"/>
        </w:numPr>
        <w:spacing w:line="276" w:lineRule="auto"/>
      </w:pPr>
      <w:r w:rsidRPr="00A77C63">
        <w:rPr>
          <w:b/>
          <w:bCs/>
          <w:i/>
          <w:iCs/>
        </w:rPr>
        <w:t>Risk mitigation:</w:t>
      </w:r>
      <w:r>
        <w:t xml:space="preserve"> Control measures are put in place to minimise the impact of the risk or the likelihood of the risk occurring. The risk is then re-scored using the risk scoring matrix and a residual risk score is recorded.</w:t>
      </w:r>
    </w:p>
    <w:p w14:paraId="5E5FB136" w14:textId="48DA4C9E" w:rsidR="00D161F9" w:rsidRDefault="00D161F9" w:rsidP="00A77C63">
      <w:pPr>
        <w:pStyle w:val="ListParagraph"/>
        <w:numPr>
          <w:ilvl w:val="0"/>
          <w:numId w:val="41"/>
        </w:numPr>
        <w:spacing w:line="276" w:lineRule="auto"/>
      </w:pPr>
      <w:r w:rsidRPr="00A77C63">
        <w:rPr>
          <w:b/>
          <w:bCs/>
          <w:i/>
          <w:iCs/>
        </w:rPr>
        <w:t>Proximity:</w:t>
      </w:r>
      <w:r>
        <w:t xml:space="preserve"> </w:t>
      </w:r>
      <w:r w:rsidR="009E4F10">
        <w:t>The University assesses the expected lifecycle of the risk to determine when the risk is expected to occur. The University uses the following options:</w:t>
      </w:r>
    </w:p>
    <w:p w14:paraId="1731102A" w14:textId="77777777" w:rsidR="00A77C63" w:rsidRDefault="00D161F9" w:rsidP="00A77C63">
      <w:pPr>
        <w:pStyle w:val="ListParagraph"/>
        <w:numPr>
          <w:ilvl w:val="1"/>
          <w:numId w:val="43"/>
        </w:numPr>
        <w:spacing w:line="276" w:lineRule="auto"/>
      </w:pPr>
      <w:r w:rsidRPr="00A77C63">
        <w:rPr>
          <w:b/>
          <w:bCs/>
          <w:i/>
          <w:iCs/>
        </w:rPr>
        <w:t>Short term:</w:t>
      </w:r>
      <w:r w:rsidRPr="00A77C63">
        <w:rPr>
          <w:b/>
          <w:bCs/>
        </w:rPr>
        <w:t xml:space="preserve"> </w:t>
      </w:r>
      <w:r>
        <w:t xml:space="preserve">The risk is likely to occur within 6 months. </w:t>
      </w:r>
    </w:p>
    <w:p w14:paraId="1E74A54D" w14:textId="77777777" w:rsidR="00A77C63" w:rsidRDefault="00D161F9" w:rsidP="00A77C63">
      <w:pPr>
        <w:pStyle w:val="ListParagraph"/>
        <w:numPr>
          <w:ilvl w:val="1"/>
          <w:numId w:val="43"/>
        </w:numPr>
        <w:spacing w:line="276" w:lineRule="auto"/>
      </w:pPr>
      <w:r w:rsidRPr="00A77C63">
        <w:rPr>
          <w:b/>
          <w:bCs/>
          <w:i/>
          <w:iCs/>
        </w:rPr>
        <w:t>Medium term:</w:t>
      </w:r>
      <w:r w:rsidRPr="00A77C63">
        <w:rPr>
          <w:b/>
          <w:bCs/>
        </w:rPr>
        <w:t xml:space="preserve"> </w:t>
      </w:r>
      <w:r>
        <w:t>The risk is likely to occur within 6 to 12 months.</w:t>
      </w:r>
    </w:p>
    <w:p w14:paraId="0AA58777" w14:textId="44C39695" w:rsidR="009D0737" w:rsidRDefault="00D161F9" w:rsidP="00A77C63">
      <w:pPr>
        <w:pStyle w:val="ListParagraph"/>
        <w:numPr>
          <w:ilvl w:val="1"/>
          <w:numId w:val="43"/>
        </w:numPr>
        <w:spacing w:line="276" w:lineRule="auto"/>
      </w:pPr>
      <w:r w:rsidRPr="00A77C63">
        <w:rPr>
          <w:b/>
          <w:bCs/>
          <w:i/>
          <w:iCs/>
        </w:rPr>
        <w:t xml:space="preserve">Long term: </w:t>
      </w:r>
      <w:r>
        <w:t xml:space="preserve">The risk is likely to occur after 12 months. </w:t>
      </w:r>
    </w:p>
    <w:p w14:paraId="5F6B440E" w14:textId="77777777" w:rsidR="00A77C63" w:rsidRDefault="00A77C63" w:rsidP="00A77C63">
      <w:pPr>
        <w:pStyle w:val="ListParagraph"/>
        <w:spacing w:line="276" w:lineRule="auto"/>
        <w:ind w:left="1800"/>
      </w:pPr>
    </w:p>
    <w:p w14:paraId="37B101B9" w14:textId="7C273452" w:rsidR="00A77C63" w:rsidRPr="00A77C63" w:rsidRDefault="00D955EA" w:rsidP="00A77C63">
      <w:pPr>
        <w:pStyle w:val="Heading1"/>
        <w:numPr>
          <w:ilvl w:val="0"/>
          <w:numId w:val="22"/>
        </w:numPr>
        <w:spacing w:before="0" w:line="276" w:lineRule="auto"/>
        <w:ind w:left="426" w:hanging="426"/>
        <w:rPr>
          <w:u w:val="none"/>
        </w:rPr>
      </w:pPr>
      <w:r w:rsidRPr="00A77C63">
        <w:rPr>
          <w:u w:val="none"/>
        </w:rPr>
        <w:t>Roles and Responsibilities</w:t>
      </w:r>
    </w:p>
    <w:p w14:paraId="447DE944" w14:textId="77777777" w:rsidR="00D955EA" w:rsidRDefault="00D955EA" w:rsidP="0040290C">
      <w:pPr>
        <w:pStyle w:val="Heading2"/>
        <w:spacing w:before="0" w:line="276" w:lineRule="auto"/>
      </w:pPr>
      <w:r>
        <w:t>Board of Governors</w:t>
      </w:r>
    </w:p>
    <w:p w14:paraId="0F5E59F8" w14:textId="43C39B0B" w:rsidR="00A77C63" w:rsidRDefault="00D955EA" w:rsidP="00A77C63">
      <w:pPr>
        <w:pStyle w:val="ListParagraph"/>
        <w:numPr>
          <w:ilvl w:val="1"/>
          <w:numId w:val="22"/>
        </w:numPr>
        <w:spacing w:after="0" w:line="276" w:lineRule="auto"/>
      </w:pPr>
      <w:r>
        <w:t>The Board of Governors is responsible for</w:t>
      </w:r>
      <w:r w:rsidRPr="00070AF0">
        <w:t xml:space="preserve"> </w:t>
      </w:r>
      <w:r>
        <w:t xml:space="preserve">determining the overall direction for the management of risk within the University and having oversight of </w:t>
      </w:r>
      <w:r w:rsidRPr="00070AF0">
        <w:t xml:space="preserve">risk </w:t>
      </w:r>
      <w:r>
        <w:t>management activity and the risk management systems. This includes:</w:t>
      </w:r>
    </w:p>
    <w:p w14:paraId="6833D33B" w14:textId="31AE3FE8" w:rsidR="00D955EA" w:rsidRDefault="00D955EA" w:rsidP="00A77C63">
      <w:pPr>
        <w:pStyle w:val="ListParagraph"/>
        <w:numPr>
          <w:ilvl w:val="0"/>
          <w:numId w:val="44"/>
        </w:numPr>
        <w:spacing w:after="0" w:line="276" w:lineRule="auto"/>
      </w:pPr>
      <w:r>
        <w:t>Approving the Risk Management Policy.</w:t>
      </w:r>
    </w:p>
    <w:p w14:paraId="2EF1F659" w14:textId="7A17DCBE" w:rsidR="00D955EA" w:rsidRDefault="00D955EA" w:rsidP="00A77C63">
      <w:pPr>
        <w:pStyle w:val="ListParagraph"/>
        <w:numPr>
          <w:ilvl w:val="0"/>
          <w:numId w:val="44"/>
        </w:numPr>
        <w:spacing w:after="0" w:line="276" w:lineRule="auto"/>
      </w:pPr>
      <w:r>
        <w:t xml:space="preserve">Determining and reviewing the University’s </w:t>
      </w:r>
      <w:r w:rsidR="00A77C63">
        <w:t>r</w:t>
      </w:r>
      <w:r>
        <w:t xml:space="preserve">isk </w:t>
      </w:r>
      <w:r w:rsidR="00A77C63">
        <w:t>a</w:t>
      </w:r>
      <w:r>
        <w:t xml:space="preserve">ppetite and </w:t>
      </w:r>
      <w:r w:rsidR="008002E3">
        <w:t xml:space="preserve">University </w:t>
      </w:r>
      <w:r>
        <w:t xml:space="preserve">level </w:t>
      </w:r>
      <w:r w:rsidR="00A77C63">
        <w:t>r</w:t>
      </w:r>
      <w:r>
        <w:t xml:space="preserve">isk </w:t>
      </w:r>
      <w:r w:rsidR="00A77C63">
        <w:t>t</w:t>
      </w:r>
      <w:r>
        <w:t>olerances.</w:t>
      </w:r>
    </w:p>
    <w:p w14:paraId="5C60C169" w14:textId="77777777" w:rsidR="00D955EA" w:rsidRDefault="00D955EA" w:rsidP="00A77C63">
      <w:pPr>
        <w:pStyle w:val="ListParagraph"/>
        <w:numPr>
          <w:ilvl w:val="0"/>
          <w:numId w:val="44"/>
        </w:numPr>
        <w:spacing w:line="276" w:lineRule="auto"/>
      </w:pPr>
      <w:r>
        <w:t xml:space="preserve">Ensuring that both the University’s </w:t>
      </w:r>
      <w:r w:rsidRPr="00070AF0">
        <w:t>long-term academic and business plans</w:t>
      </w:r>
      <w:r>
        <w:t>,</w:t>
      </w:r>
      <w:r w:rsidRPr="00070AF0">
        <w:t xml:space="preserve"> </w:t>
      </w:r>
      <w:r>
        <w:t>and its</w:t>
      </w:r>
      <w:r w:rsidRPr="00070AF0">
        <w:t xml:space="preserve"> </w:t>
      </w:r>
      <w:r>
        <w:t>actions in attaining or delivering those plans, are in line with the approved Risk Appetite and Tolerances.</w:t>
      </w:r>
    </w:p>
    <w:p w14:paraId="284C9D8A" w14:textId="77777777" w:rsidR="00D955EA" w:rsidRDefault="00D955EA" w:rsidP="00A77C63">
      <w:pPr>
        <w:pStyle w:val="ListParagraph"/>
        <w:numPr>
          <w:ilvl w:val="0"/>
          <w:numId w:val="44"/>
        </w:numPr>
        <w:spacing w:after="0" w:line="276" w:lineRule="auto"/>
      </w:pPr>
      <w:r>
        <w:t>Approving major decisions affecting the University’s risk profile or exposure, particularly those that may risk the good name and values of the University and its sustainability.</w:t>
      </w:r>
    </w:p>
    <w:p w14:paraId="4521AD28" w14:textId="77777777" w:rsidR="00D955EA" w:rsidRDefault="00D955EA" w:rsidP="00A77C63">
      <w:pPr>
        <w:pStyle w:val="ListParagraph"/>
        <w:numPr>
          <w:ilvl w:val="0"/>
          <w:numId w:val="44"/>
        </w:numPr>
        <w:spacing w:after="0" w:line="276" w:lineRule="auto"/>
      </w:pPr>
      <w:r>
        <w:t>Receiving and challenging reports on matters of institutional risk and the management thereof.</w:t>
      </w:r>
    </w:p>
    <w:p w14:paraId="37FCC23B" w14:textId="77777777" w:rsidR="00D955EA" w:rsidRDefault="00D955EA" w:rsidP="00D955EA">
      <w:pPr>
        <w:spacing w:after="0" w:line="276" w:lineRule="auto"/>
        <w:ind w:left="720"/>
      </w:pPr>
    </w:p>
    <w:p w14:paraId="76B41E15" w14:textId="77777777" w:rsidR="00D955EA" w:rsidRDefault="00D955EA" w:rsidP="00A77C63">
      <w:pPr>
        <w:pStyle w:val="Heading2"/>
        <w:spacing w:before="0" w:line="276" w:lineRule="auto"/>
      </w:pPr>
      <w:r>
        <w:t>Audit Committee</w:t>
      </w:r>
    </w:p>
    <w:p w14:paraId="560B1B2D" w14:textId="2F9FDF0B" w:rsidR="00A77C63" w:rsidRDefault="00D955EA" w:rsidP="00A77C63">
      <w:pPr>
        <w:pStyle w:val="ListParagraph"/>
        <w:numPr>
          <w:ilvl w:val="1"/>
          <w:numId w:val="22"/>
        </w:numPr>
        <w:spacing w:after="0" w:line="276" w:lineRule="auto"/>
      </w:pPr>
      <w:r>
        <w:t xml:space="preserve">The Audit Committee is responsible for </w:t>
      </w:r>
      <w:r w:rsidRPr="00770833">
        <w:rPr>
          <w:rFonts w:cs="Arial"/>
        </w:rPr>
        <w:t xml:space="preserve">keeping under review and evaluating the effectiveness of the management of risk within the University and the effectiveness of </w:t>
      </w:r>
      <w:r>
        <w:rPr>
          <w:rFonts w:cs="Arial"/>
        </w:rPr>
        <w:t>its</w:t>
      </w:r>
      <w:r w:rsidRPr="00770833">
        <w:rPr>
          <w:rFonts w:cs="Arial"/>
        </w:rPr>
        <w:t xml:space="preserve"> risk management system. This includes</w:t>
      </w:r>
      <w:r>
        <w:t>:</w:t>
      </w:r>
    </w:p>
    <w:p w14:paraId="70906F8D" w14:textId="77777777" w:rsidR="00D955EA" w:rsidRDefault="00D955EA" w:rsidP="00D955EA">
      <w:pPr>
        <w:pStyle w:val="ListParagraph"/>
        <w:numPr>
          <w:ilvl w:val="0"/>
          <w:numId w:val="8"/>
        </w:numPr>
        <w:spacing w:after="0" w:line="276" w:lineRule="auto"/>
      </w:pPr>
      <w:r>
        <w:t>Considering revisions to the Risk Management Policy prior to seeking the approval of the Board of Governors.</w:t>
      </w:r>
    </w:p>
    <w:p w14:paraId="5C3C05E9" w14:textId="77777777" w:rsidR="00D955EA" w:rsidRDefault="00D955EA" w:rsidP="00D955EA">
      <w:pPr>
        <w:pStyle w:val="ListParagraph"/>
        <w:numPr>
          <w:ilvl w:val="0"/>
          <w:numId w:val="8"/>
        </w:numPr>
        <w:spacing w:line="276" w:lineRule="auto"/>
      </w:pPr>
      <w:r>
        <w:t>Ensuring that risk management is being carried out effectively at all levels of the University.</w:t>
      </w:r>
    </w:p>
    <w:p w14:paraId="0C2E1C03" w14:textId="243F55C6" w:rsidR="00D955EA" w:rsidRDefault="00D955EA" w:rsidP="00D955EA">
      <w:pPr>
        <w:pStyle w:val="ListParagraph"/>
        <w:numPr>
          <w:ilvl w:val="0"/>
          <w:numId w:val="8"/>
        </w:numPr>
        <w:spacing w:line="276" w:lineRule="auto"/>
      </w:pPr>
      <w:r>
        <w:t xml:space="preserve">Receiving and evaluating updates </w:t>
      </w:r>
      <w:r w:rsidR="009A4F5E">
        <w:t xml:space="preserve">from </w:t>
      </w:r>
      <w:r>
        <w:t xml:space="preserve">the University </w:t>
      </w:r>
      <w:r w:rsidR="008002E3">
        <w:t xml:space="preserve">risk register </w:t>
      </w:r>
      <w:r>
        <w:t>to enable it to assure itself that there are appropriate linkages between the University’s organisational risks and its assurance activities, including internal audit.</w:t>
      </w:r>
    </w:p>
    <w:p w14:paraId="5F95EB8E" w14:textId="77777777" w:rsidR="00D955EA" w:rsidRDefault="00D955EA" w:rsidP="00D955EA">
      <w:pPr>
        <w:pStyle w:val="ListParagraph"/>
        <w:numPr>
          <w:ilvl w:val="0"/>
          <w:numId w:val="8"/>
        </w:numPr>
        <w:spacing w:line="276" w:lineRule="auto"/>
      </w:pPr>
      <w:r>
        <w:lastRenderedPageBreak/>
        <w:t>Receiving and evaluating feedback from assurance bodies, including from external auditors, on the operation and effectiveness of the University’s management of risk.</w:t>
      </w:r>
    </w:p>
    <w:p w14:paraId="1B18BF2E" w14:textId="23637C8A" w:rsidR="00D955EA" w:rsidRDefault="00D955EA" w:rsidP="00D955EA">
      <w:pPr>
        <w:pStyle w:val="ListParagraph"/>
        <w:numPr>
          <w:ilvl w:val="0"/>
          <w:numId w:val="8"/>
        </w:numPr>
        <w:spacing w:line="276" w:lineRule="auto"/>
      </w:pPr>
      <w:r>
        <w:t xml:space="preserve">Receiving and considering </w:t>
      </w:r>
      <w:r w:rsidR="00A815AA">
        <w:t>termly r</w:t>
      </w:r>
      <w:r>
        <w:t>eport</w:t>
      </w:r>
      <w:r w:rsidR="00A815AA">
        <w:t>s</w:t>
      </w:r>
      <w:r>
        <w:t xml:space="preserve"> on </w:t>
      </w:r>
      <w:r w:rsidR="007D5406">
        <w:t xml:space="preserve">risk </w:t>
      </w:r>
      <w:r>
        <w:t xml:space="preserve">from the University Risk </w:t>
      </w:r>
      <w:r w:rsidR="00891D13">
        <w:t xml:space="preserve">and Compliance </w:t>
      </w:r>
      <w:r w:rsidR="008002E3">
        <w:t>A</w:t>
      </w:r>
      <w:r w:rsidR="00C55CE3">
        <w:t>nalyst</w:t>
      </w:r>
      <w:r>
        <w:t>.</w:t>
      </w:r>
    </w:p>
    <w:p w14:paraId="75E7CF12" w14:textId="2882D001" w:rsidR="00D955EA" w:rsidRDefault="00D955EA" w:rsidP="003D4E36">
      <w:pPr>
        <w:pStyle w:val="ListParagraph"/>
        <w:numPr>
          <w:ilvl w:val="0"/>
          <w:numId w:val="8"/>
        </w:numPr>
        <w:spacing w:after="0" w:line="276" w:lineRule="auto"/>
      </w:pPr>
      <w:r>
        <w:t xml:space="preserve">Conducting deep dives into the management of risks in specific areas as deemed appropriate. </w:t>
      </w:r>
      <w:r w:rsidR="003A068F">
        <w:br/>
      </w:r>
    </w:p>
    <w:p w14:paraId="58FFEAE9" w14:textId="3AB0DC65" w:rsidR="00D955EA" w:rsidRDefault="00D955EA" w:rsidP="008002E3">
      <w:pPr>
        <w:pStyle w:val="Heading2"/>
      </w:pPr>
      <w:r>
        <w:t>Academic Board or Management Board</w:t>
      </w:r>
    </w:p>
    <w:p w14:paraId="25D4C674" w14:textId="76CF136E" w:rsidR="00D955EA" w:rsidRDefault="00D955EA" w:rsidP="00BC6911">
      <w:pPr>
        <w:pStyle w:val="ListParagraph"/>
        <w:numPr>
          <w:ilvl w:val="1"/>
          <w:numId w:val="22"/>
        </w:numPr>
        <w:spacing w:after="0" w:line="276" w:lineRule="auto"/>
      </w:pPr>
      <w:r>
        <w:t xml:space="preserve">Academic Board acts as the University’s Risk Management Committee and as such is responsible for ensuring the effective </w:t>
      </w:r>
      <w:r w:rsidRPr="008C48BB">
        <w:t>implementation of the University’s Risk Management Policy</w:t>
      </w:r>
      <w:r>
        <w:t>. This includes:</w:t>
      </w:r>
    </w:p>
    <w:p w14:paraId="6ECE1D17" w14:textId="77777777" w:rsidR="00D955EA" w:rsidRDefault="00D955EA" w:rsidP="00D955EA">
      <w:pPr>
        <w:pStyle w:val="ListParagraph"/>
        <w:numPr>
          <w:ilvl w:val="0"/>
          <w:numId w:val="9"/>
        </w:numPr>
        <w:spacing w:line="276" w:lineRule="auto"/>
      </w:pPr>
      <w:r>
        <w:t>Ensuring that there is a co-ordinated approach between the management of risk and the University’s strategic decision-making and planning, and that these are consistent with the University’s Risk Appetite and Tolerance Statement.</w:t>
      </w:r>
    </w:p>
    <w:p w14:paraId="2CA7ACE8" w14:textId="77777777" w:rsidR="00D955EA" w:rsidRDefault="00D955EA" w:rsidP="00D955EA">
      <w:pPr>
        <w:pStyle w:val="ListParagraph"/>
        <w:numPr>
          <w:ilvl w:val="0"/>
          <w:numId w:val="9"/>
        </w:numPr>
        <w:spacing w:line="276" w:lineRule="auto"/>
      </w:pPr>
      <w:r>
        <w:t>Reviewing University level risks on a termly basis and, where required, making recommendations to ensure their effective management.</w:t>
      </w:r>
    </w:p>
    <w:p w14:paraId="58459477" w14:textId="3EEBEF8B" w:rsidR="00D955EA" w:rsidRDefault="00F67718" w:rsidP="00BA5BD0">
      <w:pPr>
        <w:pStyle w:val="ListParagraph"/>
        <w:numPr>
          <w:ilvl w:val="0"/>
          <w:numId w:val="9"/>
        </w:numPr>
        <w:spacing w:line="276" w:lineRule="auto"/>
      </w:pPr>
      <w:r>
        <w:t>M</w:t>
      </w:r>
      <w:r w:rsidR="00D955EA">
        <w:t>aking recommendations to ensure the effective management of any risks that are in breach of the Risk Appetite and corporate level Risk Tolerances.</w:t>
      </w:r>
    </w:p>
    <w:p w14:paraId="71001E4F" w14:textId="77777777" w:rsidR="00A77C63" w:rsidRDefault="00D955EA" w:rsidP="00A77C63">
      <w:pPr>
        <w:pStyle w:val="Heading2"/>
      </w:pPr>
      <w:r>
        <w:t>Level 2 Staff</w:t>
      </w:r>
    </w:p>
    <w:p w14:paraId="4863128D" w14:textId="77777777" w:rsidR="00A77C63" w:rsidRDefault="00D955EA" w:rsidP="00A77C63">
      <w:pPr>
        <w:pStyle w:val="ListParagraph"/>
        <w:numPr>
          <w:ilvl w:val="1"/>
          <w:numId w:val="22"/>
        </w:numPr>
        <w:spacing w:after="0" w:line="276" w:lineRule="auto"/>
      </w:pPr>
      <w:r>
        <w:t>Led by the Vice-Chancellor, Level 2 staff are responsible for:</w:t>
      </w:r>
    </w:p>
    <w:p w14:paraId="57E9551D" w14:textId="77777777" w:rsidR="00D955EA" w:rsidRDefault="00D955EA" w:rsidP="00D955EA">
      <w:pPr>
        <w:pStyle w:val="ListParagraph"/>
        <w:numPr>
          <w:ilvl w:val="0"/>
          <w:numId w:val="10"/>
        </w:numPr>
        <w:spacing w:line="276" w:lineRule="auto"/>
      </w:pPr>
      <w:r>
        <w:t xml:space="preserve">Raising the profile of and providing leadership on organisational risk management best practice within their portfolio and across the University. </w:t>
      </w:r>
    </w:p>
    <w:p w14:paraId="31FA8436" w14:textId="77777777" w:rsidR="00D955EA" w:rsidRDefault="00D955EA" w:rsidP="00D955EA">
      <w:pPr>
        <w:pStyle w:val="ListParagraph"/>
        <w:numPr>
          <w:ilvl w:val="0"/>
          <w:numId w:val="10"/>
        </w:numPr>
        <w:spacing w:line="276" w:lineRule="auto"/>
      </w:pPr>
      <w:r>
        <w:t>Ensuring that objectives are set, and that their delivery is conducted, in accordance with the University’s Risk Appetite and Risk Tolerances.</w:t>
      </w:r>
    </w:p>
    <w:p w14:paraId="3BB69EE4" w14:textId="77777777" w:rsidR="00D955EA" w:rsidRDefault="00D955EA" w:rsidP="00D955EA">
      <w:pPr>
        <w:pStyle w:val="ListParagraph"/>
        <w:numPr>
          <w:ilvl w:val="0"/>
          <w:numId w:val="10"/>
        </w:numPr>
        <w:spacing w:line="276" w:lineRule="auto"/>
      </w:pPr>
      <w:r>
        <w:t>Reviewing any Divisional level risks escalated to them and making recommendations for their management where necessary, and/or ensuring that mitigating action is undertaken.</w:t>
      </w:r>
    </w:p>
    <w:p w14:paraId="0B9EC206" w14:textId="63553AF7" w:rsidR="00D955EA" w:rsidRDefault="00D955EA" w:rsidP="00D955EA">
      <w:pPr>
        <w:pStyle w:val="ListParagraph"/>
        <w:numPr>
          <w:ilvl w:val="0"/>
          <w:numId w:val="10"/>
        </w:numPr>
        <w:spacing w:line="276" w:lineRule="auto"/>
      </w:pPr>
      <w:r>
        <w:t xml:space="preserve">Scrutinising the University </w:t>
      </w:r>
      <w:r w:rsidR="00A77C63">
        <w:t>r</w:t>
      </w:r>
      <w:r>
        <w:t xml:space="preserve">isk </w:t>
      </w:r>
      <w:r w:rsidR="00A77C63">
        <w:t>r</w:t>
      </w:r>
      <w:r>
        <w:t>egister</w:t>
      </w:r>
      <w:r w:rsidR="00A815AA">
        <w:t xml:space="preserve"> on a termly basis</w:t>
      </w:r>
      <w:r>
        <w:t xml:space="preserve"> prior to Academic Board consideration. </w:t>
      </w:r>
    </w:p>
    <w:p w14:paraId="058D72A4" w14:textId="08937CB2" w:rsidR="00D955EA" w:rsidRDefault="00D955EA" w:rsidP="00D955EA">
      <w:pPr>
        <w:pStyle w:val="ListParagraph"/>
        <w:numPr>
          <w:ilvl w:val="0"/>
          <w:numId w:val="10"/>
        </w:numPr>
        <w:spacing w:line="276" w:lineRule="auto"/>
      </w:pPr>
      <w:r>
        <w:t>Allocating sufficient resources within their portfolio to adequately manage organisational risks and ensure managers are managing risks in accordance with the Risk Management Policy.</w:t>
      </w:r>
    </w:p>
    <w:p w14:paraId="55CF899B" w14:textId="77777777" w:rsidR="00D955EA" w:rsidRDefault="00D955EA" w:rsidP="00D955EA">
      <w:pPr>
        <w:pStyle w:val="ListParagraph"/>
        <w:numPr>
          <w:ilvl w:val="0"/>
          <w:numId w:val="10"/>
        </w:numPr>
        <w:spacing w:line="276" w:lineRule="auto"/>
      </w:pPr>
      <w:r>
        <w:t>Undertaking training and development activities associated with organisational risk management.</w:t>
      </w:r>
    </w:p>
    <w:p w14:paraId="202964E5" w14:textId="72B2472D" w:rsidR="00D955EA" w:rsidRDefault="00D955EA" w:rsidP="00D955EA">
      <w:pPr>
        <w:pStyle w:val="ListParagraph"/>
        <w:numPr>
          <w:ilvl w:val="0"/>
          <w:numId w:val="10"/>
        </w:numPr>
        <w:spacing w:after="0" w:line="276" w:lineRule="auto"/>
      </w:pPr>
      <w:r>
        <w:t xml:space="preserve">Where required, acting as </w:t>
      </w:r>
      <w:r w:rsidR="008002E3">
        <w:t xml:space="preserve">risk owners </w:t>
      </w:r>
      <w:r>
        <w:t xml:space="preserve">for </w:t>
      </w:r>
      <w:r w:rsidR="008002E3">
        <w:t xml:space="preserve">organisational risks </w:t>
      </w:r>
      <w:r>
        <w:t xml:space="preserve">taking on the responsibilities listed in paragraph </w:t>
      </w:r>
      <w:r w:rsidR="002549A7">
        <w:t>7</w:t>
      </w:r>
      <w:r>
        <w:t>.7.</w:t>
      </w:r>
    </w:p>
    <w:p w14:paraId="6F106434" w14:textId="77777777" w:rsidR="00D955EA" w:rsidRDefault="00D955EA" w:rsidP="00D955EA">
      <w:pPr>
        <w:pStyle w:val="Heading2"/>
        <w:spacing w:before="0" w:line="276" w:lineRule="auto"/>
      </w:pPr>
    </w:p>
    <w:p w14:paraId="62E115E0" w14:textId="11B0C1FD" w:rsidR="00D955EA" w:rsidRDefault="00D955EA" w:rsidP="00A77C63">
      <w:pPr>
        <w:pStyle w:val="Heading2"/>
        <w:spacing w:before="0" w:line="276" w:lineRule="auto"/>
      </w:pPr>
      <w:r>
        <w:t>University Risk</w:t>
      </w:r>
      <w:r w:rsidR="000513C5">
        <w:t xml:space="preserve"> and Compliance </w:t>
      </w:r>
      <w:r w:rsidR="007D5406">
        <w:t>A</w:t>
      </w:r>
      <w:r w:rsidR="00F535B0">
        <w:t>nalyst</w:t>
      </w:r>
    </w:p>
    <w:p w14:paraId="4D796049" w14:textId="63179295" w:rsidR="002B1E18" w:rsidRDefault="00A77C63" w:rsidP="002B1E18">
      <w:pPr>
        <w:pStyle w:val="ListParagraph"/>
        <w:numPr>
          <w:ilvl w:val="1"/>
          <w:numId w:val="22"/>
        </w:numPr>
        <w:spacing w:after="0" w:line="276" w:lineRule="auto"/>
      </w:pPr>
      <w:r>
        <w:t>The University Risk and Compliance Analyst is responsible for:</w:t>
      </w:r>
    </w:p>
    <w:p w14:paraId="6D5F9EA5" w14:textId="5B702E24" w:rsidR="00D955EA" w:rsidRDefault="00D955EA" w:rsidP="00D955EA">
      <w:pPr>
        <w:pStyle w:val="ListParagraph"/>
        <w:numPr>
          <w:ilvl w:val="0"/>
          <w:numId w:val="11"/>
        </w:numPr>
        <w:spacing w:line="276" w:lineRule="auto"/>
      </w:pPr>
      <w:r>
        <w:t>Leading on the development, communication, implementation and review of the University’s Risk Management Policy.</w:t>
      </w:r>
    </w:p>
    <w:p w14:paraId="682ADF12" w14:textId="77777777" w:rsidR="00D955EA" w:rsidRDefault="00D955EA" w:rsidP="00D955EA">
      <w:pPr>
        <w:pStyle w:val="ListParagraph"/>
        <w:numPr>
          <w:ilvl w:val="0"/>
          <w:numId w:val="11"/>
        </w:numPr>
        <w:spacing w:line="276" w:lineRule="auto"/>
      </w:pPr>
      <w:r>
        <w:t>Leading on the co-ordination of organisational risk management activities.</w:t>
      </w:r>
    </w:p>
    <w:p w14:paraId="11A41918" w14:textId="77777777" w:rsidR="00D955EA" w:rsidRDefault="00D955EA" w:rsidP="00D955EA">
      <w:pPr>
        <w:pStyle w:val="ListParagraph"/>
        <w:numPr>
          <w:ilvl w:val="0"/>
          <w:numId w:val="11"/>
        </w:numPr>
        <w:spacing w:line="276" w:lineRule="auto"/>
      </w:pPr>
      <w:r>
        <w:t>Preparing reports for boards and committees on organisational risk management matters and institutional level risks.</w:t>
      </w:r>
    </w:p>
    <w:p w14:paraId="00D14125" w14:textId="17E55E86" w:rsidR="00D955EA" w:rsidRDefault="00D955EA" w:rsidP="00D955EA">
      <w:pPr>
        <w:pStyle w:val="ListParagraph"/>
        <w:numPr>
          <w:ilvl w:val="0"/>
          <w:numId w:val="11"/>
        </w:numPr>
        <w:spacing w:line="276" w:lineRule="auto"/>
      </w:pPr>
      <w:r>
        <w:t>Facilitating communication on risk management matters between Academic Board, Audit Committee, the Board of Governors and its other relevant Committees, the Executive and other stakeholders.</w:t>
      </w:r>
    </w:p>
    <w:p w14:paraId="04C02BF1" w14:textId="492B6040" w:rsidR="00D955EA" w:rsidRDefault="00D955EA" w:rsidP="00D955EA">
      <w:pPr>
        <w:pStyle w:val="ListParagraph"/>
        <w:numPr>
          <w:ilvl w:val="0"/>
          <w:numId w:val="11"/>
        </w:numPr>
        <w:spacing w:line="276" w:lineRule="auto"/>
      </w:pPr>
      <w:r>
        <w:lastRenderedPageBreak/>
        <w:t xml:space="preserve">Conducting regular </w:t>
      </w:r>
      <w:r w:rsidR="00A77C63">
        <w:t>‘</w:t>
      </w:r>
      <w:r>
        <w:t>top-down</w:t>
      </w:r>
      <w:r w:rsidR="00A77C63">
        <w:t>’</w:t>
      </w:r>
      <w:r>
        <w:t xml:space="preserve"> reviews of organisational risks as deemed necessary, with an emphasis on reviewing the effectiveness of the mitigating controls for institutional level risks.</w:t>
      </w:r>
    </w:p>
    <w:p w14:paraId="69AD1702" w14:textId="77777777" w:rsidR="00D955EA" w:rsidRDefault="00D955EA" w:rsidP="00D955EA">
      <w:pPr>
        <w:pStyle w:val="ListParagraph"/>
        <w:numPr>
          <w:ilvl w:val="0"/>
          <w:numId w:val="11"/>
        </w:numPr>
        <w:spacing w:after="0" w:line="276" w:lineRule="auto"/>
      </w:pPr>
      <w:r>
        <w:t>Developing and delivering specialist organisational risk management training, support and guidance to University staff.</w:t>
      </w:r>
    </w:p>
    <w:p w14:paraId="30588CCE" w14:textId="77777777" w:rsidR="00D955EA" w:rsidRDefault="00D955EA" w:rsidP="00D955EA">
      <w:pPr>
        <w:pStyle w:val="Heading2"/>
        <w:spacing w:before="0" w:line="276" w:lineRule="auto"/>
      </w:pPr>
    </w:p>
    <w:p w14:paraId="406B6052" w14:textId="77777777" w:rsidR="00D955EA" w:rsidRDefault="00D955EA" w:rsidP="002B1E18">
      <w:pPr>
        <w:pStyle w:val="Heading2"/>
        <w:spacing w:before="0" w:line="276" w:lineRule="auto"/>
        <w:jc w:val="both"/>
      </w:pPr>
      <w:r>
        <w:t>Risk Division Managers</w:t>
      </w:r>
    </w:p>
    <w:p w14:paraId="29959E6E" w14:textId="32595D14" w:rsidR="00D955EA" w:rsidRDefault="002B1E18" w:rsidP="00DC0A8D">
      <w:pPr>
        <w:pStyle w:val="ListParagraph"/>
        <w:numPr>
          <w:ilvl w:val="1"/>
          <w:numId w:val="22"/>
        </w:numPr>
        <w:spacing w:after="0" w:line="276" w:lineRule="auto"/>
      </w:pPr>
      <w:r>
        <w:t>The University’s Risk Division Managers, i.e. Deans of School, Directors/Heads of Professional Services, Project and Programme Managers, Secretaries of Subsidiary Companies are responsible for:</w:t>
      </w:r>
    </w:p>
    <w:p w14:paraId="483DF672" w14:textId="77777777" w:rsidR="00D955EA" w:rsidRDefault="00D955EA" w:rsidP="00D955EA">
      <w:pPr>
        <w:pStyle w:val="ListParagraph"/>
        <w:numPr>
          <w:ilvl w:val="0"/>
          <w:numId w:val="12"/>
        </w:numPr>
        <w:spacing w:line="276" w:lineRule="auto"/>
        <w:ind w:left="1134" w:hanging="425"/>
      </w:pPr>
      <w:r w:rsidRPr="00320BA1">
        <w:t>Raising the profile of</w:t>
      </w:r>
      <w:r>
        <w:t>,</w:t>
      </w:r>
      <w:r w:rsidRPr="00320BA1">
        <w:t xml:space="preserve"> </w:t>
      </w:r>
      <w:r>
        <w:t>and providing leadership for, organisational risk management for those staff within their management remit.</w:t>
      </w:r>
    </w:p>
    <w:p w14:paraId="672A8E7E" w14:textId="77777777" w:rsidR="00D955EA" w:rsidRDefault="00D955EA" w:rsidP="00D955EA">
      <w:pPr>
        <w:pStyle w:val="ListParagraph"/>
        <w:numPr>
          <w:ilvl w:val="0"/>
          <w:numId w:val="12"/>
        </w:numPr>
        <w:spacing w:line="276" w:lineRule="auto"/>
        <w:ind w:left="1134" w:hanging="425"/>
      </w:pPr>
      <w:r>
        <w:t>Ensuring that objectives are set, and that their delivery is conducted in accordance with, the University’s Risk Appetite and Risk Tolerances.</w:t>
      </w:r>
    </w:p>
    <w:p w14:paraId="09817C24" w14:textId="7F46F7FD" w:rsidR="00D955EA" w:rsidRDefault="00D955EA" w:rsidP="00D955EA">
      <w:pPr>
        <w:pStyle w:val="ListParagraph"/>
        <w:numPr>
          <w:ilvl w:val="0"/>
          <w:numId w:val="12"/>
        </w:numPr>
        <w:spacing w:line="276" w:lineRule="auto"/>
        <w:ind w:left="1134" w:hanging="425"/>
      </w:pPr>
      <w:r>
        <w:t xml:space="preserve">Where required, acting as </w:t>
      </w:r>
      <w:r w:rsidR="008002E3">
        <w:t>r</w:t>
      </w:r>
      <w:r>
        <w:t xml:space="preserve">isk </w:t>
      </w:r>
      <w:r w:rsidR="008002E3">
        <w:t xml:space="preserve">owners </w:t>
      </w:r>
      <w:r>
        <w:t xml:space="preserve">for organisational risks taking on the responsibilities listed in para. </w:t>
      </w:r>
      <w:r w:rsidR="0094578A">
        <w:t>7</w:t>
      </w:r>
      <w:r>
        <w:t xml:space="preserve">.7, including acting as </w:t>
      </w:r>
      <w:r w:rsidR="008002E3">
        <w:t xml:space="preserve">risk owners </w:t>
      </w:r>
      <w:r>
        <w:t xml:space="preserve">for cross-cutting risks shared across </w:t>
      </w:r>
      <w:r w:rsidR="008002E3">
        <w:t>risk divisions</w:t>
      </w:r>
      <w:r>
        <w:t>.</w:t>
      </w:r>
    </w:p>
    <w:p w14:paraId="33B4AAAC" w14:textId="6A1A8B68" w:rsidR="00D955EA" w:rsidRDefault="00D955EA" w:rsidP="00D955EA">
      <w:pPr>
        <w:pStyle w:val="ListParagraph"/>
        <w:numPr>
          <w:ilvl w:val="0"/>
          <w:numId w:val="12"/>
        </w:numPr>
        <w:spacing w:line="276" w:lineRule="auto"/>
        <w:ind w:left="1134" w:hanging="425"/>
      </w:pPr>
      <w:r>
        <w:t>Allocating sufficient resources to manage any organisational risks as required, and ensuring staff are operating in accordance with the Risk Management Policy</w:t>
      </w:r>
      <w:r w:rsidR="000513C5">
        <w:t>.</w:t>
      </w:r>
      <w:r>
        <w:t xml:space="preserve"> </w:t>
      </w:r>
    </w:p>
    <w:p w14:paraId="0351266F" w14:textId="6F49F679" w:rsidR="00D955EA" w:rsidRDefault="00D955EA" w:rsidP="00D955EA">
      <w:pPr>
        <w:pStyle w:val="ListParagraph"/>
        <w:numPr>
          <w:ilvl w:val="0"/>
          <w:numId w:val="12"/>
        </w:numPr>
        <w:spacing w:line="276" w:lineRule="auto"/>
        <w:ind w:left="1134" w:hanging="425"/>
      </w:pPr>
      <w:r>
        <w:t xml:space="preserve">Providing adequate information in a timely manner to the University Risk </w:t>
      </w:r>
      <w:r w:rsidR="000513C5">
        <w:t>and Compliance Analyst</w:t>
      </w:r>
      <w:r>
        <w:t xml:space="preserve"> in relation to risk management.</w:t>
      </w:r>
    </w:p>
    <w:p w14:paraId="2C0B4E99" w14:textId="77777777" w:rsidR="00D955EA" w:rsidRDefault="00D955EA" w:rsidP="00D955EA">
      <w:pPr>
        <w:pStyle w:val="ListParagraph"/>
        <w:numPr>
          <w:ilvl w:val="0"/>
          <w:numId w:val="12"/>
        </w:numPr>
        <w:spacing w:after="0" w:line="276" w:lineRule="auto"/>
        <w:ind w:left="1134" w:hanging="425"/>
      </w:pPr>
      <w:r>
        <w:t>Undertaking and engaging with training and development activities associated with organisational risk management.</w:t>
      </w:r>
    </w:p>
    <w:p w14:paraId="48D31434" w14:textId="77777777" w:rsidR="00D955EA" w:rsidRDefault="00D955EA" w:rsidP="00D955EA">
      <w:pPr>
        <w:pStyle w:val="Heading2"/>
        <w:spacing w:before="0" w:line="276" w:lineRule="auto"/>
        <w:ind w:firstLine="360"/>
      </w:pPr>
    </w:p>
    <w:p w14:paraId="64BAF9D0" w14:textId="77777777" w:rsidR="00D955EA" w:rsidRPr="002B1E18" w:rsidRDefault="00D955EA" w:rsidP="002B1E18">
      <w:pPr>
        <w:spacing w:after="0" w:line="276" w:lineRule="auto"/>
        <w:rPr>
          <w:b/>
          <w:bCs/>
        </w:rPr>
      </w:pPr>
      <w:r w:rsidRPr="002B1E18">
        <w:rPr>
          <w:b/>
          <w:bCs/>
        </w:rPr>
        <w:t>Risk Owners</w:t>
      </w:r>
    </w:p>
    <w:p w14:paraId="6BA2A5C4" w14:textId="19A120F1" w:rsidR="00D955EA" w:rsidRDefault="00D955EA" w:rsidP="002B1E18">
      <w:pPr>
        <w:pStyle w:val="ListParagraph"/>
        <w:numPr>
          <w:ilvl w:val="1"/>
          <w:numId w:val="22"/>
        </w:numPr>
        <w:spacing w:after="0" w:line="276" w:lineRule="auto"/>
      </w:pPr>
      <w:r>
        <w:t>In relation to each risk they are assigned, the Risk Owner is responsible for:</w:t>
      </w:r>
    </w:p>
    <w:p w14:paraId="74B23C71" w14:textId="5C9A1446" w:rsidR="00D955EA" w:rsidRDefault="00D955EA" w:rsidP="00D955EA">
      <w:pPr>
        <w:pStyle w:val="ListParagraph"/>
        <w:numPr>
          <w:ilvl w:val="0"/>
          <w:numId w:val="13"/>
        </w:numPr>
        <w:spacing w:line="276" w:lineRule="auto"/>
        <w:ind w:left="1134" w:hanging="425"/>
      </w:pPr>
      <w:r>
        <w:t xml:space="preserve">Determining an effective and proportional management or treatment plan, including control measures, to manage the likelihood and/or impact of the assigned risk being realised, to at least within the University’s </w:t>
      </w:r>
      <w:r w:rsidR="008002E3">
        <w:t xml:space="preserve">risk appetite </w:t>
      </w:r>
      <w:r>
        <w:t xml:space="preserve">and </w:t>
      </w:r>
      <w:r w:rsidR="008002E3">
        <w:t>risk tolerances</w:t>
      </w:r>
      <w:r>
        <w:t>.</w:t>
      </w:r>
    </w:p>
    <w:p w14:paraId="5C608FD1" w14:textId="77777777" w:rsidR="00D955EA" w:rsidRDefault="00D955EA" w:rsidP="00D955EA">
      <w:pPr>
        <w:pStyle w:val="ListParagraph"/>
        <w:numPr>
          <w:ilvl w:val="0"/>
          <w:numId w:val="13"/>
        </w:numPr>
        <w:spacing w:line="276" w:lineRule="auto"/>
        <w:ind w:left="1134" w:hanging="425"/>
      </w:pPr>
      <w:r>
        <w:t>Reviewing each assigned risk on a termly basis.</w:t>
      </w:r>
    </w:p>
    <w:p w14:paraId="0BBE8E16" w14:textId="77777777" w:rsidR="00D955EA" w:rsidRDefault="00D955EA" w:rsidP="00D955EA">
      <w:pPr>
        <w:pStyle w:val="ListParagraph"/>
        <w:numPr>
          <w:ilvl w:val="0"/>
          <w:numId w:val="13"/>
        </w:numPr>
        <w:spacing w:line="276" w:lineRule="auto"/>
        <w:ind w:left="1134" w:hanging="425"/>
      </w:pPr>
      <w:r>
        <w:t>Monitoring the implementation and/or effectiveness of all management or treatment plans, including their control measures, on an on-going basis.</w:t>
      </w:r>
    </w:p>
    <w:p w14:paraId="277002F6" w14:textId="5B6FFB99" w:rsidR="00D955EA" w:rsidRDefault="00D955EA" w:rsidP="00D955EA">
      <w:pPr>
        <w:pStyle w:val="ListParagraph"/>
        <w:numPr>
          <w:ilvl w:val="0"/>
          <w:numId w:val="13"/>
        </w:numPr>
        <w:spacing w:line="276" w:lineRule="auto"/>
        <w:ind w:left="1134" w:hanging="425"/>
      </w:pPr>
      <w:r>
        <w:t xml:space="preserve">Reporting to </w:t>
      </w:r>
      <w:r w:rsidRPr="006A0F3F">
        <w:t xml:space="preserve">the University Risk </w:t>
      </w:r>
      <w:r w:rsidR="000513C5">
        <w:t>and Compliance Analyst</w:t>
      </w:r>
      <w:r>
        <w:t xml:space="preserve"> on the management of their assigned risk where required to do so.</w:t>
      </w:r>
    </w:p>
    <w:p w14:paraId="7EFCC67F" w14:textId="5A45F918" w:rsidR="00D955EA" w:rsidRDefault="00D955EA" w:rsidP="00D955EA">
      <w:pPr>
        <w:pStyle w:val="ListParagraph"/>
        <w:numPr>
          <w:ilvl w:val="0"/>
          <w:numId w:val="13"/>
        </w:numPr>
        <w:spacing w:line="276" w:lineRule="auto"/>
        <w:ind w:left="1134" w:hanging="425"/>
      </w:pPr>
      <w:r>
        <w:t xml:space="preserve">Receiving and giving due consideration to reports from the </w:t>
      </w:r>
      <w:r w:rsidRPr="006A0F3F">
        <w:t xml:space="preserve">University Risk </w:t>
      </w:r>
      <w:r w:rsidR="003C5F2E">
        <w:t xml:space="preserve">and Compliance </w:t>
      </w:r>
      <w:r w:rsidR="000513C5">
        <w:t>Analyst</w:t>
      </w:r>
      <w:r>
        <w:t xml:space="preserve"> or assurance providers on the management of their assigned risk.</w:t>
      </w:r>
    </w:p>
    <w:p w14:paraId="425802A1" w14:textId="77777777" w:rsidR="00D955EA" w:rsidRDefault="00D955EA" w:rsidP="008002E3">
      <w:pPr>
        <w:spacing w:line="276" w:lineRule="auto"/>
      </w:pPr>
    </w:p>
    <w:p w14:paraId="4569A425" w14:textId="77777777" w:rsidR="00D955EA" w:rsidRPr="002B1E18" w:rsidRDefault="00D955EA" w:rsidP="002B1E18">
      <w:pPr>
        <w:pStyle w:val="Heading1"/>
        <w:spacing w:before="0" w:line="276" w:lineRule="auto"/>
        <w:rPr>
          <w:u w:val="none"/>
        </w:rPr>
      </w:pPr>
      <w:r w:rsidRPr="002B1E18">
        <w:rPr>
          <w:u w:val="none"/>
        </w:rPr>
        <w:t>Contacts</w:t>
      </w:r>
    </w:p>
    <w:p w14:paraId="5047A63F" w14:textId="77777777" w:rsidR="0040290C" w:rsidRDefault="00D955EA" w:rsidP="0040290C">
      <w:pPr>
        <w:pStyle w:val="ListParagraph"/>
        <w:numPr>
          <w:ilvl w:val="1"/>
          <w:numId w:val="22"/>
        </w:numPr>
        <w:spacing w:after="0" w:line="276" w:lineRule="auto"/>
      </w:pPr>
      <w:r>
        <w:t xml:space="preserve">Queries regarding this Risk Management Policy should be directed to the Risk and Compliance Analyst in the </w:t>
      </w:r>
      <w:r w:rsidR="008002E3">
        <w:t xml:space="preserve">Strategy, Planning and Performance team. </w:t>
      </w:r>
    </w:p>
    <w:p w14:paraId="2E183E7A" w14:textId="67C198B9" w:rsidR="00C25E5C" w:rsidRDefault="00C25E5C" w:rsidP="0040290C">
      <w:pPr>
        <w:spacing w:after="0" w:line="276" w:lineRule="auto"/>
      </w:pPr>
    </w:p>
    <w:p w14:paraId="4FF8A712" w14:textId="176DFF5D" w:rsidR="00D955EA" w:rsidRPr="0040290C" w:rsidRDefault="00D955EA" w:rsidP="00D955EA">
      <w:pPr>
        <w:spacing w:after="0" w:line="276" w:lineRule="auto"/>
        <w:ind w:left="426" w:hanging="426"/>
      </w:pPr>
      <w:r w:rsidRPr="0040290C">
        <w:rPr>
          <w:b/>
          <w:bCs/>
        </w:rPr>
        <w:t>Review</w:t>
      </w:r>
    </w:p>
    <w:p w14:paraId="1E14D48D" w14:textId="36F4C6D8" w:rsidR="0040290C" w:rsidRPr="0040290C" w:rsidRDefault="00D955EA" w:rsidP="0040290C">
      <w:pPr>
        <w:pStyle w:val="ListParagraph"/>
        <w:numPr>
          <w:ilvl w:val="1"/>
          <w:numId w:val="22"/>
        </w:numPr>
        <w:spacing w:after="0" w:line="276" w:lineRule="auto"/>
      </w:pPr>
      <w:r>
        <w:rPr>
          <w:rFonts w:cs="Arial"/>
        </w:rPr>
        <w:t xml:space="preserve">This Policy will be reviewed every three years. </w:t>
      </w:r>
    </w:p>
    <w:p w14:paraId="41F31AAA" w14:textId="77777777" w:rsidR="0040290C" w:rsidRDefault="0040290C" w:rsidP="0040290C">
      <w:pPr>
        <w:spacing w:after="0" w:line="276" w:lineRule="auto"/>
      </w:pPr>
    </w:p>
    <w:p w14:paraId="1108AA42" w14:textId="77777777" w:rsidR="0040290C" w:rsidRDefault="0040290C" w:rsidP="0040290C">
      <w:pPr>
        <w:spacing w:after="0" w:line="276" w:lineRule="auto"/>
      </w:pPr>
    </w:p>
    <w:p w14:paraId="508E52C2" w14:textId="202AF134" w:rsidR="002B1E18" w:rsidRPr="002B1E18" w:rsidRDefault="002B1E18" w:rsidP="002B1E18">
      <w:pPr>
        <w:spacing w:after="0" w:line="276" w:lineRule="auto"/>
        <w:rPr>
          <w:rFonts w:cs="Arial"/>
        </w:rPr>
        <w:sectPr w:rsidR="002B1E18" w:rsidRPr="002B1E18" w:rsidSect="00CE57A1">
          <w:footerReference w:type="default" r:id="rId12"/>
          <w:pgSz w:w="11906" w:h="16838"/>
          <w:pgMar w:top="1134" w:right="1134" w:bottom="1134" w:left="1134" w:header="709" w:footer="709" w:gutter="0"/>
          <w:cols w:space="708"/>
          <w:docGrid w:linePitch="360"/>
        </w:sectPr>
      </w:pPr>
    </w:p>
    <w:p w14:paraId="05D4CA80" w14:textId="19EB48A6" w:rsidR="00D33250" w:rsidRPr="002B1E18" w:rsidRDefault="00D33250" w:rsidP="00D955EA">
      <w:pPr>
        <w:rPr>
          <w:rFonts w:cs="Arial"/>
          <w:b/>
          <w:bCs/>
        </w:rPr>
      </w:pPr>
      <w:r w:rsidRPr="002B1E18">
        <w:rPr>
          <w:rFonts w:cs="Arial"/>
          <w:b/>
          <w:bCs/>
        </w:rPr>
        <w:lastRenderedPageBreak/>
        <w:t xml:space="preserve">Appendix </w:t>
      </w:r>
      <w:r w:rsidR="00205ED2">
        <w:rPr>
          <w:rFonts w:cs="Arial"/>
          <w:b/>
          <w:bCs/>
        </w:rPr>
        <w:t>A</w:t>
      </w:r>
      <w:r w:rsidR="002B1E18" w:rsidRPr="002B1E18">
        <w:rPr>
          <w:rFonts w:cs="Arial"/>
          <w:b/>
          <w:bCs/>
        </w:rPr>
        <w:t xml:space="preserve">: </w:t>
      </w:r>
      <w:r w:rsidRPr="002B1E18">
        <w:rPr>
          <w:rFonts w:cs="Arial"/>
          <w:b/>
          <w:bCs/>
        </w:rPr>
        <w:t>University risk scoring matrix</w:t>
      </w:r>
    </w:p>
    <w:p w14:paraId="1D2A51E1" w14:textId="045EB273" w:rsidR="00D955EA" w:rsidRDefault="00D955EA" w:rsidP="00D955EA">
      <w:pPr>
        <w:rPr>
          <w:rFonts w:cs="Arial"/>
        </w:rPr>
      </w:pPr>
      <w:r w:rsidRPr="00154B52">
        <w:rPr>
          <w:rFonts w:cs="Arial"/>
        </w:rPr>
        <w:t>All University risks are scored using the Risk Scoring Matrix as laid out below. This Risk Scoring Matrix shows, via shaded bands overlaid onto it, both the University’s Risk Appetite classifications and its overall risk tolerance threshold.</w:t>
      </w:r>
    </w:p>
    <w:p w14:paraId="48469693" w14:textId="77777777" w:rsidR="002B1E18" w:rsidRDefault="002B1E18" w:rsidP="00D955EA">
      <w:pPr>
        <w:rPr>
          <w:rFonts w:cs="Arial"/>
        </w:rPr>
      </w:pPr>
    </w:p>
    <w:p w14:paraId="7C822A44" w14:textId="4F233538" w:rsidR="002B1E18" w:rsidRDefault="002B1E18" w:rsidP="002B1E18">
      <w:pPr>
        <w:jc w:val="center"/>
        <w:rPr>
          <w:rFonts w:cs="Arial"/>
        </w:rPr>
      </w:pPr>
      <w:r>
        <w:rPr>
          <w:noProof/>
        </w:rPr>
        <w:drawing>
          <wp:inline distT="0" distB="0" distL="0" distR="0" wp14:anchorId="14BD924B" wp14:editId="2DBD3127">
            <wp:extent cx="4914779" cy="2438400"/>
            <wp:effectExtent l="0" t="0" r="635" b="0"/>
            <wp:docPr id="982360296" name="Picture 1" descr="A table with a red, orange and green squares to represent level of 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60296" name="Picture 1" descr="A table with a red, orange and green squares to represent level of risk."/>
                    <pic:cNvPicPr/>
                  </pic:nvPicPr>
                  <pic:blipFill>
                    <a:blip r:embed="rId13"/>
                    <a:stretch>
                      <a:fillRect/>
                    </a:stretch>
                  </pic:blipFill>
                  <pic:spPr>
                    <a:xfrm>
                      <a:off x="0" y="0"/>
                      <a:ext cx="4928149" cy="2445034"/>
                    </a:xfrm>
                    <a:prstGeom prst="rect">
                      <a:avLst/>
                    </a:prstGeom>
                  </pic:spPr>
                </pic:pic>
              </a:graphicData>
            </a:graphic>
          </wp:inline>
        </w:drawing>
      </w:r>
    </w:p>
    <w:p w14:paraId="0CCB4B87" w14:textId="77777777" w:rsidR="0040290C" w:rsidRDefault="0040290C" w:rsidP="002B1E18">
      <w:pPr>
        <w:jc w:val="center"/>
        <w:rPr>
          <w:rFonts w:cs="Arial"/>
        </w:rPr>
      </w:pPr>
    </w:p>
    <w:p w14:paraId="6F7F4376" w14:textId="77777777" w:rsidR="0040290C" w:rsidRPr="00154B52" w:rsidRDefault="0040290C" w:rsidP="002B1E18">
      <w:pPr>
        <w:jc w:val="center"/>
        <w:rPr>
          <w:rFonts w:cs="Arial"/>
        </w:rPr>
      </w:pPr>
    </w:p>
    <w:tbl>
      <w:tblPr>
        <w:tblW w:w="9918" w:type="dxa"/>
        <w:tblCellMar>
          <w:top w:w="15" w:type="dxa"/>
          <w:bottom w:w="15" w:type="dxa"/>
        </w:tblCellMar>
        <w:tblLook w:val="04A0" w:firstRow="1" w:lastRow="0" w:firstColumn="1" w:lastColumn="0" w:noHBand="0" w:noVBand="1"/>
      </w:tblPr>
      <w:tblGrid>
        <w:gridCol w:w="732"/>
        <w:gridCol w:w="2201"/>
        <w:gridCol w:w="6985"/>
      </w:tblGrid>
      <w:tr w:rsidR="00DB69ED" w:rsidRPr="00117735" w14:paraId="10313C26" w14:textId="77777777" w:rsidTr="007F417A">
        <w:trPr>
          <w:trHeight w:val="461"/>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500088" w14:textId="77777777" w:rsidR="00DB69ED" w:rsidRPr="00117735" w:rsidRDefault="00DB69ED" w:rsidP="003B6C75">
            <w:pPr>
              <w:spacing w:after="0" w:line="240" w:lineRule="auto"/>
              <w:rPr>
                <w:rFonts w:ascii="Calibri" w:eastAsia="Times New Roman" w:hAnsi="Calibri" w:cs="Calibri"/>
                <w:color w:val="000000"/>
                <w:lang w:eastAsia="en-GB"/>
              </w:rPr>
            </w:pPr>
            <w:r w:rsidRPr="00117735">
              <w:rPr>
                <w:rFonts w:ascii="Calibri" w:eastAsia="Times New Roman" w:hAnsi="Calibri" w:cs="Calibri"/>
                <w:color w:val="000000"/>
                <w:lang w:eastAsia="en-GB"/>
              </w:rPr>
              <w:t>The score should reflect the higher of the financial value, the proportion of the institution affected, or the degree to which the whole University is affected.</w:t>
            </w:r>
          </w:p>
        </w:tc>
      </w:tr>
      <w:tr w:rsidR="00DB69ED" w:rsidRPr="00117735" w14:paraId="66461E8F" w14:textId="77777777" w:rsidTr="007F417A">
        <w:trPr>
          <w:trHeight w:val="1830"/>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D3002" w14:textId="77777777" w:rsidR="00DB69ED" w:rsidRPr="00117735" w:rsidRDefault="00DB69ED" w:rsidP="003B6C75">
            <w:pPr>
              <w:spacing w:after="0" w:line="240" w:lineRule="auto"/>
              <w:rPr>
                <w:rFonts w:ascii="Calibri" w:eastAsia="Times New Roman" w:hAnsi="Calibri" w:cs="Calibri"/>
                <w:color w:val="000000"/>
                <w:lang w:eastAsia="en-GB"/>
              </w:rPr>
            </w:pPr>
            <w:r w:rsidRPr="00117735">
              <w:rPr>
                <w:rFonts w:ascii="Calibri" w:eastAsia="Times New Roman" w:hAnsi="Calibri" w:cs="Calibri"/>
                <w:color w:val="000000"/>
                <w:lang w:eastAsia="en-GB"/>
              </w:rPr>
              <w:t>5</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78B06" w14:textId="77777777" w:rsidR="00DB69ED" w:rsidRPr="002B1E18" w:rsidRDefault="00DB69ED" w:rsidP="003B6C75">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Very significant</w:t>
            </w:r>
          </w:p>
        </w:tc>
        <w:tc>
          <w:tcPr>
            <w:tcW w:w="6985" w:type="dxa"/>
            <w:tcBorders>
              <w:top w:val="single" w:sz="4" w:space="0" w:color="auto"/>
              <w:left w:val="single" w:sz="4" w:space="0" w:color="auto"/>
              <w:bottom w:val="single" w:sz="4" w:space="0" w:color="auto"/>
              <w:right w:val="single" w:sz="4" w:space="0" w:color="auto"/>
            </w:tcBorders>
            <w:shd w:val="clear" w:color="auto" w:fill="auto"/>
            <w:hideMark/>
          </w:tcPr>
          <w:p w14:paraId="0DED5E44" w14:textId="77777777" w:rsidR="00DB69ED" w:rsidRPr="002B1E18" w:rsidRDefault="00DB69ED" w:rsidP="003B6C75">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 The incident would significantly affect the operation, reputation or strategic direction of the whole University.</w:t>
            </w:r>
            <w:r w:rsidRPr="002B1E18">
              <w:rPr>
                <w:rFonts w:ascii="Calibri" w:eastAsia="Times New Roman" w:hAnsi="Calibri" w:cs="Calibri"/>
                <w:color w:val="000000"/>
                <w:sz w:val="20"/>
                <w:szCs w:val="20"/>
                <w:lang w:eastAsia="en-GB"/>
              </w:rPr>
              <w:br/>
              <w:t xml:space="preserve">• The financial impact would cost the University =&gt; £5M. </w:t>
            </w:r>
            <w:r w:rsidRPr="002B1E18">
              <w:rPr>
                <w:rFonts w:ascii="Calibri" w:eastAsia="Times New Roman" w:hAnsi="Calibri" w:cs="Calibri"/>
                <w:color w:val="000000"/>
                <w:sz w:val="20"/>
                <w:szCs w:val="20"/>
                <w:lang w:eastAsia="en-GB"/>
              </w:rPr>
              <w:br/>
              <w:t>• Fatalities caused by University actions/inactions.</w:t>
            </w:r>
            <w:r w:rsidRPr="002B1E18">
              <w:rPr>
                <w:rFonts w:ascii="Calibri" w:eastAsia="Times New Roman" w:hAnsi="Calibri" w:cs="Calibri"/>
                <w:color w:val="000000"/>
                <w:sz w:val="20"/>
                <w:szCs w:val="20"/>
                <w:lang w:eastAsia="en-GB"/>
              </w:rPr>
              <w:br/>
              <w:t>• Threats of targeted terrorist actions against groups or specific threat to University as a whole or widespread and extreme dissatisfaction with protests</w:t>
            </w:r>
            <w:r w:rsidRPr="002B1E18">
              <w:rPr>
                <w:rFonts w:ascii="Calibri" w:eastAsia="Times New Roman" w:hAnsi="Calibri" w:cs="Calibri"/>
                <w:color w:val="000000"/>
                <w:sz w:val="20"/>
                <w:szCs w:val="20"/>
                <w:lang w:eastAsia="en-GB"/>
              </w:rPr>
              <w:br/>
              <w:t>• Quality of academic provision seriously jeopardised and long term viability undermined</w:t>
            </w:r>
            <w:r w:rsidRPr="002B1E18">
              <w:rPr>
                <w:rFonts w:ascii="Calibri" w:eastAsia="Times New Roman" w:hAnsi="Calibri" w:cs="Calibri"/>
                <w:color w:val="000000"/>
                <w:sz w:val="20"/>
                <w:szCs w:val="20"/>
                <w:lang w:eastAsia="en-GB"/>
              </w:rPr>
              <w:br/>
              <w:t>• Long term/permanent loss of use of entire sites</w:t>
            </w:r>
            <w:r w:rsidRPr="002B1E18">
              <w:rPr>
                <w:rFonts w:ascii="Calibri" w:eastAsia="Times New Roman" w:hAnsi="Calibri" w:cs="Calibri"/>
                <w:color w:val="000000"/>
                <w:sz w:val="20"/>
                <w:szCs w:val="20"/>
                <w:lang w:eastAsia="en-GB"/>
              </w:rPr>
              <w:br/>
              <w:t>• Formal external regulatory investigation involving high profile criminal allegations against management and threat of imprisonment or withdrawal of status or imposition of sanctions resulting in forced termination of mission critical activities.</w:t>
            </w:r>
          </w:p>
        </w:tc>
      </w:tr>
      <w:tr w:rsidR="00DB69ED" w:rsidRPr="00117735" w14:paraId="053FF4A0" w14:textId="77777777" w:rsidTr="007F417A">
        <w:trPr>
          <w:trHeight w:val="2470"/>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F3535" w14:textId="77777777" w:rsidR="00DB69ED" w:rsidRPr="00117735" w:rsidRDefault="00DB69ED" w:rsidP="003B6C75">
            <w:pPr>
              <w:spacing w:after="0" w:line="240" w:lineRule="auto"/>
              <w:rPr>
                <w:rFonts w:ascii="Calibri" w:eastAsia="Times New Roman" w:hAnsi="Calibri" w:cs="Calibri"/>
                <w:color w:val="000000"/>
                <w:lang w:eastAsia="en-GB"/>
              </w:rPr>
            </w:pPr>
            <w:r w:rsidRPr="00117735">
              <w:rPr>
                <w:rFonts w:ascii="Calibri" w:eastAsia="Times New Roman" w:hAnsi="Calibri" w:cs="Calibri"/>
                <w:color w:val="000000"/>
                <w:lang w:eastAsia="en-GB"/>
              </w:rPr>
              <w:t>4</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90341" w14:textId="77777777" w:rsidR="00DB69ED" w:rsidRPr="002B1E18" w:rsidRDefault="00DB69ED" w:rsidP="003B6C75">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Significant</w:t>
            </w:r>
          </w:p>
        </w:tc>
        <w:tc>
          <w:tcPr>
            <w:tcW w:w="6985" w:type="dxa"/>
            <w:tcBorders>
              <w:top w:val="single" w:sz="4" w:space="0" w:color="auto"/>
              <w:left w:val="single" w:sz="4" w:space="0" w:color="auto"/>
              <w:bottom w:val="single" w:sz="4" w:space="0" w:color="auto"/>
              <w:right w:val="single" w:sz="4" w:space="0" w:color="auto"/>
            </w:tcBorders>
            <w:shd w:val="clear" w:color="auto" w:fill="auto"/>
            <w:hideMark/>
          </w:tcPr>
          <w:p w14:paraId="1A7E95A7" w14:textId="77777777" w:rsidR="00DB69ED" w:rsidRPr="002B1E18" w:rsidRDefault="00DB69ED" w:rsidP="003B6C75">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 The incident would affect the operation, reputation or strategic direction of the whole University but not significantly; or</w:t>
            </w:r>
            <w:r w:rsidRPr="002B1E18">
              <w:rPr>
                <w:rFonts w:ascii="Calibri" w:eastAsia="Times New Roman" w:hAnsi="Calibri" w:cs="Calibri"/>
                <w:color w:val="000000"/>
                <w:sz w:val="20"/>
                <w:szCs w:val="20"/>
                <w:lang w:eastAsia="en-GB"/>
              </w:rPr>
              <w:br/>
              <w:t>• The incident would significantly affect the operation, reputation or strategic direction of more than one College or Professional Service department (but does not affect the whole University).</w:t>
            </w:r>
            <w:r w:rsidRPr="002B1E18">
              <w:rPr>
                <w:rFonts w:ascii="Calibri" w:eastAsia="Times New Roman" w:hAnsi="Calibri" w:cs="Calibri"/>
                <w:color w:val="000000"/>
                <w:sz w:val="20"/>
                <w:szCs w:val="20"/>
                <w:lang w:eastAsia="en-GB"/>
              </w:rPr>
              <w:br/>
              <w:t>• Financial impact =&gt; £250K &lt;£5M</w:t>
            </w:r>
            <w:r w:rsidRPr="002B1E18">
              <w:rPr>
                <w:rFonts w:ascii="Calibri" w:eastAsia="Times New Roman" w:hAnsi="Calibri" w:cs="Calibri"/>
                <w:color w:val="000000"/>
                <w:sz w:val="20"/>
                <w:szCs w:val="20"/>
                <w:lang w:eastAsia="en-GB"/>
              </w:rPr>
              <w:br/>
              <w:t>• Major life changing injury (e.g. paraplegia) or threats to kill or maim individual in connection with University activity</w:t>
            </w:r>
            <w:r w:rsidRPr="002B1E18">
              <w:rPr>
                <w:rFonts w:ascii="Calibri" w:eastAsia="Times New Roman" w:hAnsi="Calibri" w:cs="Calibri"/>
                <w:color w:val="000000"/>
                <w:sz w:val="20"/>
                <w:szCs w:val="20"/>
                <w:lang w:eastAsia="en-GB"/>
              </w:rPr>
              <w:br/>
              <w:t>• Spread of life-threatening disease</w:t>
            </w:r>
            <w:r w:rsidRPr="002B1E18">
              <w:rPr>
                <w:rFonts w:ascii="Calibri" w:eastAsia="Times New Roman" w:hAnsi="Calibri" w:cs="Calibri"/>
                <w:color w:val="000000"/>
                <w:sz w:val="20"/>
                <w:szCs w:val="20"/>
                <w:lang w:eastAsia="en-GB"/>
              </w:rPr>
              <w:br/>
              <w:t>• Disruption which has a medium to long term affect adverse on business critical activity or loss of key student markets</w:t>
            </w:r>
            <w:r w:rsidRPr="002B1E18">
              <w:rPr>
                <w:rFonts w:ascii="Calibri" w:eastAsia="Times New Roman" w:hAnsi="Calibri" w:cs="Calibri"/>
                <w:color w:val="000000"/>
                <w:sz w:val="20"/>
                <w:szCs w:val="20"/>
                <w:lang w:eastAsia="en-GB"/>
              </w:rPr>
              <w:br/>
              <w:t>• Formal external regulatory investigation into organisational practices with potential for suspension of significant elements of University operations or fines.</w:t>
            </w:r>
          </w:p>
        </w:tc>
      </w:tr>
      <w:tr w:rsidR="00DB69ED" w:rsidRPr="00117735" w14:paraId="11A246FE" w14:textId="77777777" w:rsidTr="007F417A">
        <w:trPr>
          <w:trHeight w:val="2434"/>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84BA6" w14:textId="77777777" w:rsidR="00DB69ED" w:rsidRPr="00117735" w:rsidRDefault="00DB69ED" w:rsidP="003B6C75">
            <w:pPr>
              <w:spacing w:after="0" w:line="240" w:lineRule="auto"/>
              <w:rPr>
                <w:rFonts w:ascii="Calibri" w:eastAsia="Times New Roman" w:hAnsi="Calibri" w:cs="Calibri"/>
                <w:color w:val="000000"/>
                <w:lang w:eastAsia="en-GB"/>
              </w:rPr>
            </w:pPr>
            <w:r w:rsidRPr="00117735">
              <w:rPr>
                <w:rFonts w:ascii="Calibri" w:eastAsia="Times New Roman" w:hAnsi="Calibri" w:cs="Calibri"/>
                <w:color w:val="000000"/>
                <w:lang w:eastAsia="en-GB"/>
              </w:rPr>
              <w:lastRenderedPageBreak/>
              <w:t>3</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ACCE6" w14:textId="77777777" w:rsidR="00DB69ED" w:rsidRPr="002B1E18" w:rsidRDefault="00DB69ED" w:rsidP="003B6C75">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Moderate</w:t>
            </w:r>
          </w:p>
        </w:tc>
        <w:tc>
          <w:tcPr>
            <w:tcW w:w="6985" w:type="dxa"/>
            <w:tcBorders>
              <w:top w:val="single" w:sz="4" w:space="0" w:color="auto"/>
              <w:left w:val="single" w:sz="4" w:space="0" w:color="auto"/>
              <w:bottom w:val="single" w:sz="4" w:space="0" w:color="auto"/>
              <w:right w:val="single" w:sz="4" w:space="0" w:color="auto"/>
            </w:tcBorders>
            <w:shd w:val="clear" w:color="auto" w:fill="auto"/>
            <w:hideMark/>
          </w:tcPr>
          <w:p w14:paraId="2FB36E7C" w14:textId="77777777" w:rsidR="00DB69ED" w:rsidRPr="002B1E18" w:rsidRDefault="00DB69ED" w:rsidP="003B6C75">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 The incident would affect the whole University to a some extent; or</w:t>
            </w:r>
            <w:r w:rsidRPr="002B1E18">
              <w:rPr>
                <w:rFonts w:ascii="Calibri" w:eastAsia="Times New Roman" w:hAnsi="Calibri" w:cs="Calibri"/>
                <w:color w:val="000000"/>
                <w:sz w:val="20"/>
                <w:szCs w:val="20"/>
                <w:lang w:eastAsia="en-GB"/>
              </w:rPr>
              <w:br/>
              <w:t>• The incident would significantly affect the operation, reputation or strategic direction of several Schools (possibly a whole College) or Professional Services department.</w:t>
            </w:r>
            <w:r w:rsidRPr="002B1E18">
              <w:rPr>
                <w:rFonts w:ascii="Calibri" w:eastAsia="Times New Roman" w:hAnsi="Calibri" w:cs="Calibri"/>
                <w:color w:val="000000"/>
                <w:sz w:val="20"/>
                <w:szCs w:val="20"/>
                <w:lang w:eastAsia="en-GB"/>
              </w:rPr>
              <w:br/>
              <w:t>• Financial impact =&gt; £50K &lt; £250K.</w:t>
            </w:r>
            <w:r w:rsidRPr="002B1E18">
              <w:rPr>
                <w:rFonts w:ascii="Calibri" w:eastAsia="Times New Roman" w:hAnsi="Calibri" w:cs="Calibri"/>
                <w:color w:val="000000"/>
                <w:sz w:val="20"/>
                <w:szCs w:val="20"/>
                <w:lang w:eastAsia="en-GB"/>
              </w:rPr>
              <w:br/>
              <w:t>• Reporting of Injuries, Diseases and Dangerous Occurrences Regulations (RIDDOR) major incidents or injuries or cases of life threatening disease.</w:t>
            </w:r>
            <w:r w:rsidRPr="002B1E18">
              <w:rPr>
                <w:rFonts w:ascii="Calibri" w:eastAsia="Times New Roman" w:hAnsi="Calibri" w:cs="Calibri"/>
                <w:color w:val="000000"/>
                <w:sz w:val="20"/>
                <w:szCs w:val="20"/>
                <w:lang w:eastAsia="en-GB"/>
              </w:rPr>
              <w:br/>
              <w:t>• Disruption which compromises ability to undertake business critical activity within required timescales.</w:t>
            </w:r>
            <w:r w:rsidRPr="002B1E18">
              <w:rPr>
                <w:rFonts w:ascii="Calibri" w:eastAsia="Times New Roman" w:hAnsi="Calibri" w:cs="Calibri"/>
                <w:color w:val="000000"/>
                <w:sz w:val="20"/>
                <w:szCs w:val="20"/>
                <w:lang w:eastAsia="en-GB"/>
              </w:rPr>
              <w:br/>
              <w:t>• Student recruitment markets adversely affected.</w:t>
            </w:r>
            <w:r w:rsidRPr="002B1E18">
              <w:rPr>
                <w:rFonts w:ascii="Calibri" w:eastAsia="Times New Roman" w:hAnsi="Calibri" w:cs="Calibri"/>
                <w:color w:val="000000"/>
                <w:sz w:val="20"/>
                <w:szCs w:val="20"/>
                <w:lang w:eastAsia="en-GB"/>
              </w:rPr>
              <w:br/>
              <w:t>• Case referred by complainant to regulatory authorities and potential for regulatory action with more than localised effect or fines.</w:t>
            </w:r>
          </w:p>
        </w:tc>
      </w:tr>
      <w:tr w:rsidR="00DB69ED" w:rsidRPr="00117735" w14:paraId="5DB054CB" w14:textId="77777777" w:rsidTr="007F417A">
        <w:trPr>
          <w:trHeight w:val="1661"/>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A3DBE" w14:textId="77777777" w:rsidR="00DB69ED" w:rsidRPr="00117735" w:rsidRDefault="00DB69ED" w:rsidP="003B6C75">
            <w:pPr>
              <w:spacing w:after="0" w:line="240" w:lineRule="auto"/>
              <w:rPr>
                <w:rFonts w:ascii="Calibri" w:eastAsia="Times New Roman" w:hAnsi="Calibri" w:cs="Calibri"/>
                <w:color w:val="000000"/>
                <w:lang w:eastAsia="en-GB"/>
              </w:rPr>
            </w:pPr>
            <w:r w:rsidRPr="00117735">
              <w:rPr>
                <w:rFonts w:ascii="Calibri" w:eastAsia="Times New Roman" w:hAnsi="Calibri" w:cs="Calibri"/>
                <w:color w:val="000000"/>
                <w:lang w:eastAsia="en-GB"/>
              </w:rPr>
              <w:t>2</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F4FBA" w14:textId="77777777" w:rsidR="00DB69ED" w:rsidRPr="002B1E18" w:rsidRDefault="00DB69ED" w:rsidP="003B6C75">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Low</w:t>
            </w:r>
          </w:p>
        </w:tc>
        <w:tc>
          <w:tcPr>
            <w:tcW w:w="6985" w:type="dxa"/>
            <w:tcBorders>
              <w:top w:val="single" w:sz="4" w:space="0" w:color="auto"/>
              <w:left w:val="single" w:sz="4" w:space="0" w:color="auto"/>
              <w:bottom w:val="single" w:sz="4" w:space="0" w:color="auto"/>
              <w:right w:val="single" w:sz="4" w:space="0" w:color="auto"/>
            </w:tcBorders>
            <w:shd w:val="clear" w:color="auto" w:fill="auto"/>
            <w:hideMark/>
          </w:tcPr>
          <w:p w14:paraId="34528B22" w14:textId="77777777" w:rsidR="00DB69ED" w:rsidRPr="002B1E18" w:rsidRDefault="00DB69ED" w:rsidP="003B6C75">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 The incident would affect the operation, reputation or strategic direction of a small number of Schools or Professional Services departments but would have little or no effect on other areas of the University.</w:t>
            </w:r>
            <w:r w:rsidRPr="002B1E18">
              <w:rPr>
                <w:rFonts w:ascii="Calibri" w:eastAsia="Times New Roman" w:hAnsi="Calibri" w:cs="Calibri"/>
                <w:color w:val="000000"/>
                <w:sz w:val="20"/>
                <w:szCs w:val="20"/>
                <w:lang w:eastAsia="en-GB"/>
              </w:rPr>
              <w:br/>
              <w:t>• Financial impact &lt;£50K</w:t>
            </w:r>
            <w:r w:rsidRPr="002B1E18">
              <w:rPr>
                <w:rFonts w:ascii="Calibri" w:eastAsia="Times New Roman" w:hAnsi="Calibri" w:cs="Calibri"/>
                <w:color w:val="000000"/>
                <w:sz w:val="20"/>
                <w:szCs w:val="20"/>
                <w:lang w:eastAsia="en-GB"/>
              </w:rPr>
              <w:br/>
              <w:t>• RIDDOR minor injuries or stress on individual or morale of small group damaged</w:t>
            </w:r>
            <w:r w:rsidRPr="002B1E18">
              <w:rPr>
                <w:rFonts w:ascii="Calibri" w:eastAsia="Times New Roman" w:hAnsi="Calibri" w:cs="Calibri"/>
                <w:color w:val="000000"/>
                <w:sz w:val="20"/>
                <w:szCs w:val="20"/>
                <w:lang w:eastAsia="en-GB"/>
              </w:rPr>
              <w:br/>
              <w:t>• Disruption which interferes with business activity – tasks are made more difficult but are not impossible to complete within required timescales</w:t>
            </w:r>
            <w:r w:rsidRPr="002B1E18">
              <w:rPr>
                <w:rFonts w:ascii="Calibri" w:eastAsia="Times New Roman" w:hAnsi="Calibri" w:cs="Calibri"/>
                <w:color w:val="000000"/>
                <w:sz w:val="20"/>
                <w:szCs w:val="20"/>
                <w:lang w:eastAsia="en-GB"/>
              </w:rPr>
              <w:br/>
              <w:t>• Fines or claims brought.</w:t>
            </w:r>
          </w:p>
        </w:tc>
      </w:tr>
      <w:tr w:rsidR="00DB69ED" w:rsidRPr="00117735" w14:paraId="216C95DB" w14:textId="77777777" w:rsidTr="007F417A">
        <w:trPr>
          <w:trHeight w:val="1448"/>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1C77D" w14:textId="77777777" w:rsidR="00DB69ED" w:rsidRPr="00117735" w:rsidRDefault="00DB69ED" w:rsidP="003B6C75">
            <w:pPr>
              <w:spacing w:after="0" w:line="240" w:lineRule="auto"/>
              <w:rPr>
                <w:rFonts w:ascii="Calibri" w:eastAsia="Times New Roman" w:hAnsi="Calibri" w:cs="Calibri"/>
                <w:color w:val="000000"/>
                <w:lang w:eastAsia="en-GB"/>
              </w:rPr>
            </w:pPr>
            <w:r w:rsidRPr="00117735">
              <w:rPr>
                <w:rFonts w:ascii="Calibri" w:eastAsia="Times New Roman" w:hAnsi="Calibri" w:cs="Calibri"/>
                <w:color w:val="000000"/>
                <w:lang w:eastAsia="en-GB"/>
              </w:rPr>
              <w:t>1</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ED4C9" w14:textId="77777777" w:rsidR="00DB69ED" w:rsidRPr="00AB0BED" w:rsidRDefault="00DB69ED" w:rsidP="003B6C75">
            <w:pPr>
              <w:spacing w:after="0" w:line="240" w:lineRule="auto"/>
              <w:rPr>
                <w:rFonts w:ascii="Calibri" w:eastAsia="Times New Roman" w:hAnsi="Calibri" w:cs="Calibri"/>
                <w:color w:val="000000"/>
                <w:sz w:val="20"/>
                <w:szCs w:val="20"/>
                <w:lang w:eastAsia="en-GB"/>
              </w:rPr>
            </w:pPr>
            <w:r w:rsidRPr="00AB0BED">
              <w:rPr>
                <w:rFonts w:ascii="Calibri" w:eastAsia="Times New Roman" w:hAnsi="Calibri" w:cs="Calibri"/>
                <w:color w:val="000000"/>
                <w:sz w:val="20"/>
                <w:szCs w:val="20"/>
                <w:lang w:eastAsia="en-GB"/>
              </w:rPr>
              <w:t>Insignificant</w:t>
            </w:r>
          </w:p>
        </w:tc>
        <w:tc>
          <w:tcPr>
            <w:tcW w:w="6985" w:type="dxa"/>
            <w:tcBorders>
              <w:top w:val="single" w:sz="4" w:space="0" w:color="auto"/>
              <w:left w:val="single" w:sz="4" w:space="0" w:color="auto"/>
              <w:bottom w:val="single" w:sz="4" w:space="0" w:color="auto"/>
              <w:right w:val="single" w:sz="4" w:space="0" w:color="auto"/>
            </w:tcBorders>
            <w:shd w:val="clear" w:color="auto" w:fill="auto"/>
            <w:hideMark/>
          </w:tcPr>
          <w:p w14:paraId="3875FCB6" w14:textId="77777777" w:rsidR="00DB69ED" w:rsidRPr="00AB0BED" w:rsidRDefault="00DB69ED" w:rsidP="003B6C75">
            <w:pPr>
              <w:spacing w:after="0" w:line="240" w:lineRule="auto"/>
              <w:rPr>
                <w:rFonts w:ascii="Calibri" w:eastAsia="Times New Roman" w:hAnsi="Calibri" w:cs="Calibri"/>
                <w:color w:val="000000"/>
                <w:sz w:val="20"/>
                <w:szCs w:val="20"/>
                <w:lang w:eastAsia="en-GB"/>
              </w:rPr>
            </w:pPr>
            <w:r w:rsidRPr="00AB0BED">
              <w:rPr>
                <w:rFonts w:ascii="Calibri" w:eastAsia="Times New Roman" w:hAnsi="Calibri" w:cs="Calibri"/>
                <w:color w:val="000000"/>
                <w:sz w:val="20"/>
                <w:szCs w:val="20"/>
                <w:lang w:eastAsia="en-GB"/>
              </w:rPr>
              <w:t>• The incident would affect the operation, reputation or strategic direction of a single School or Professional Services department but would have little or no impact on other areas of the University.</w:t>
            </w:r>
            <w:r w:rsidRPr="00AB0BED">
              <w:rPr>
                <w:rFonts w:ascii="Calibri" w:eastAsia="Times New Roman" w:hAnsi="Calibri" w:cs="Calibri"/>
                <w:color w:val="000000"/>
                <w:sz w:val="20"/>
                <w:szCs w:val="20"/>
                <w:lang w:eastAsia="en-GB"/>
              </w:rPr>
              <w:br/>
              <w:t>• Financial impact negligible.</w:t>
            </w:r>
            <w:r w:rsidRPr="00AB0BED">
              <w:rPr>
                <w:rFonts w:ascii="Calibri" w:eastAsia="Times New Roman" w:hAnsi="Calibri" w:cs="Calibri"/>
                <w:color w:val="000000"/>
                <w:sz w:val="20"/>
                <w:szCs w:val="20"/>
                <w:lang w:eastAsia="en-GB"/>
              </w:rPr>
              <w:br/>
              <w:t>• Minor dissatisfaction of an individual or small group.</w:t>
            </w:r>
            <w:r w:rsidRPr="00AB0BED">
              <w:rPr>
                <w:rFonts w:ascii="Calibri" w:eastAsia="Times New Roman" w:hAnsi="Calibri" w:cs="Calibri"/>
                <w:color w:val="000000"/>
                <w:sz w:val="20"/>
                <w:szCs w:val="20"/>
                <w:lang w:eastAsia="en-GB"/>
              </w:rPr>
              <w:br/>
              <w:t>• Disruption which interferes with non-business critical.</w:t>
            </w:r>
            <w:r w:rsidRPr="00AB0BED">
              <w:rPr>
                <w:rFonts w:ascii="Calibri" w:eastAsia="Times New Roman" w:hAnsi="Calibri" w:cs="Calibri"/>
                <w:color w:val="000000"/>
                <w:sz w:val="20"/>
                <w:szCs w:val="20"/>
                <w:lang w:eastAsia="en-GB"/>
              </w:rPr>
              <w:br/>
              <w:t>• Regulations breach that results in minimal or no damage or loss.</w:t>
            </w:r>
          </w:p>
        </w:tc>
      </w:tr>
      <w:tr w:rsidR="00AB0BED" w:rsidRPr="00DB69ED" w14:paraId="12E9E0CC" w14:textId="77777777" w:rsidTr="007F417A">
        <w:trPr>
          <w:trHeight w:val="224"/>
        </w:trPr>
        <w:tc>
          <w:tcPr>
            <w:tcW w:w="9918" w:type="dxa"/>
            <w:gridSpan w:val="3"/>
            <w:shd w:val="clear" w:color="auto" w:fill="auto"/>
            <w:noWrap/>
            <w:vAlign w:val="bottom"/>
          </w:tcPr>
          <w:p w14:paraId="6BFE3952" w14:textId="6A298630" w:rsidR="00AB0BED" w:rsidRPr="00DB69ED" w:rsidRDefault="00AB0BED" w:rsidP="003B6C75">
            <w:pPr>
              <w:spacing w:after="0" w:line="240" w:lineRule="auto"/>
              <w:rPr>
                <w:rFonts w:ascii="Times New Roman" w:eastAsia="Times New Roman" w:hAnsi="Times New Roman" w:cs="Times New Roman"/>
                <w:sz w:val="20"/>
                <w:szCs w:val="20"/>
                <w:lang w:eastAsia="en-GB"/>
              </w:rPr>
            </w:pPr>
          </w:p>
        </w:tc>
      </w:tr>
      <w:tr w:rsidR="002B1E18" w:rsidRPr="00DB69ED" w14:paraId="7447972C" w14:textId="77777777" w:rsidTr="007F417A">
        <w:trPr>
          <w:trHeight w:val="224"/>
        </w:trPr>
        <w:tc>
          <w:tcPr>
            <w:tcW w:w="9918" w:type="dxa"/>
            <w:gridSpan w:val="3"/>
            <w:shd w:val="clear" w:color="auto" w:fill="auto"/>
            <w:noWrap/>
            <w:vAlign w:val="bottom"/>
          </w:tcPr>
          <w:p w14:paraId="78DDE92F" w14:textId="77777777" w:rsidR="002B1E18" w:rsidRPr="00DB69ED" w:rsidRDefault="002B1E18" w:rsidP="003B6C75">
            <w:pPr>
              <w:spacing w:after="0" w:line="240" w:lineRule="auto"/>
              <w:rPr>
                <w:rFonts w:ascii="Times New Roman" w:eastAsia="Times New Roman" w:hAnsi="Times New Roman" w:cs="Times New Roman"/>
                <w:sz w:val="20"/>
                <w:szCs w:val="20"/>
                <w:lang w:eastAsia="en-GB"/>
              </w:rPr>
            </w:pPr>
          </w:p>
        </w:tc>
      </w:tr>
      <w:tr w:rsidR="00CA7DA7" w:rsidRPr="00DB69ED" w14:paraId="18DDEA69" w14:textId="77777777" w:rsidTr="007F417A">
        <w:trPr>
          <w:trHeight w:val="224"/>
        </w:trPr>
        <w:tc>
          <w:tcPr>
            <w:tcW w:w="99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E24E7CF" w14:textId="098D63E6" w:rsidR="00CA7DA7" w:rsidRPr="00AB0BED" w:rsidRDefault="00CA7DA7" w:rsidP="003B6C75">
            <w:pPr>
              <w:spacing w:after="0" w:line="240" w:lineRule="auto"/>
              <w:rPr>
                <w:rFonts w:ascii="Calibri" w:eastAsia="Times New Roman" w:hAnsi="Calibri" w:cs="Calibri"/>
                <w:b/>
                <w:bCs/>
                <w:color w:val="000000"/>
                <w:sz w:val="20"/>
                <w:szCs w:val="20"/>
                <w:lang w:eastAsia="en-GB"/>
              </w:rPr>
            </w:pPr>
            <w:r w:rsidRPr="00AB0BED">
              <w:rPr>
                <w:rFonts w:ascii="Calibri" w:eastAsia="Times New Roman" w:hAnsi="Calibri" w:cs="Calibri"/>
                <w:b/>
                <w:bCs/>
                <w:color w:val="000000"/>
                <w:sz w:val="20"/>
                <w:szCs w:val="20"/>
                <w:lang w:eastAsia="en-GB"/>
              </w:rPr>
              <w:t>Likelihood</w:t>
            </w:r>
          </w:p>
        </w:tc>
      </w:tr>
      <w:tr w:rsidR="00DB69ED" w:rsidRPr="007E51D2" w14:paraId="7682A45B" w14:textId="77777777" w:rsidTr="007F417A">
        <w:trPr>
          <w:trHeight w:val="758"/>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1BC11" w14:textId="77777777" w:rsidR="00DB69ED" w:rsidRPr="007E51D2" w:rsidRDefault="00DB69ED" w:rsidP="003B6C75">
            <w:pPr>
              <w:spacing w:after="0" w:line="240" w:lineRule="auto"/>
              <w:rPr>
                <w:rFonts w:ascii="Calibri" w:eastAsia="Times New Roman" w:hAnsi="Calibri" w:cs="Calibri"/>
                <w:color w:val="000000"/>
                <w:lang w:eastAsia="en-GB"/>
              </w:rPr>
            </w:pPr>
            <w:r w:rsidRPr="007E51D2">
              <w:rPr>
                <w:rFonts w:ascii="Calibri" w:eastAsia="Times New Roman" w:hAnsi="Calibri" w:cs="Calibri"/>
                <w:color w:val="000000"/>
                <w:lang w:eastAsia="en-GB"/>
              </w:rPr>
              <w:t>5</w:t>
            </w:r>
          </w:p>
        </w:tc>
        <w:tc>
          <w:tcPr>
            <w:tcW w:w="2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8965F" w14:textId="77777777" w:rsidR="00DB69ED" w:rsidRPr="007E51D2" w:rsidRDefault="00DB69ED" w:rsidP="003B6C75">
            <w:pPr>
              <w:spacing w:after="0" w:line="240" w:lineRule="auto"/>
              <w:rPr>
                <w:rFonts w:ascii="Calibri" w:eastAsia="Times New Roman" w:hAnsi="Calibri" w:cs="Calibri"/>
                <w:color w:val="000000"/>
                <w:sz w:val="20"/>
                <w:szCs w:val="20"/>
                <w:lang w:eastAsia="en-GB"/>
              </w:rPr>
            </w:pPr>
            <w:r w:rsidRPr="007E51D2">
              <w:rPr>
                <w:rFonts w:ascii="Calibri" w:eastAsia="Times New Roman" w:hAnsi="Calibri" w:cs="Calibri"/>
                <w:color w:val="000000"/>
                <w:sz w:val="20"/>
                <w:szCs w:val="20"/>
                <w:lang w:eastAsia="en-GB"/>
              </w:rPr>
              <w:t>Highly likely</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D64D8" w14:textId="77777777" w:rsidR="00DB69ED" w:rsidRPr="007E51D2" w:rsidRDefault="00DB69ED" w:rsidP="003B6C75">
            <w:pPr>
              <w:spacing w:after="0" w:line="240" w:lineRule="auto"/>
              <w:rPr>
                <w:rFonts w:ascii="Calibri" w:eastAsia="Times New Roman" w:hAnsi="Calibri" w:cs="Calibri"/>
                <w:color w:val="000000"/>
                <w:sz w:val="20"/>
                <w:szCs w:val="20"/>
                <w:lang w:eastAsia="en-GB"/>
              </w:rPr>
            </w:pPr>
            <w:r w:rsidRPr="007E51D2">
              <w:rPr>
                <w:rFonts w:ascii="Calibri" w:eastAsia="Times New Roman" w:hAnsi="Calibri" w:cs="Calibri"/>
                <w:color w:val="000000"/>
                <w:sz w:val="20"/>
                <w:szCs w:val="20"/>
                <w:lang w:eastAsia="en-GB"/>
              </w:rPr>
              <w:t>It is expected that this risk will materialise at least once within the next two years, or has already materialised. A risk of this kind is likely to be reflected as a contingency or directly in the University’s budgets and medium-term financial plan.</w:t>
            </w:r>
          </w:p>
        </w:tc>
      </w:tr>
      <w:tr w:rsidR="00DB69ED" w:rsidRPr="00117735" w14:paraId="3EB11B88" w14:textId="77777777" w:rsidTr="007F417A">
        <w:trPr>
          <w:trHeight w:val="474"/>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83ADC" w14:textId="77777777" w:rsidR="00DB69ED" w:rsidRPr="00117735" w:rsidRDefault="00DB69ED" w:rsidP="003B6C75">
            <w:pPr>
              <w:spacing w:after="0" w:line="240" w:lineRule="auto"/>
              <w:rPr>
                <w:rFonts w:ascii="Calibri" w:eastAsia="Times New Roman" w:hAnsi="Calibri" w:cs="Calibri"/>
                <w:color w:val="000000"/>
                <w:lang w:eastAsia="en-GB"/>
              </w:rPr>
            </w:pPr>
            <w:r w:rsidRPr="00117735">
              <w:rPr>
                <w:rFonts w:ascii="Calibri" w:eastAsia="Times New Roman" w:hAnsi="Calibri" w:cs="Calibri"/>
                <w:color w:val="000000"/>
                <w:lang w:eastAsia="en-GB"/>
              </w:rPr>
              <w:t>4</w:t>
            </w:r>
          </w:p>
        </w:tc>
        <w:tc>
          <w:tcPr>
            <w:tcW w:w="2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6D0E1" w14:textId="77777777" w:rsidR="00DB69ED" w:rsidRPr="00AB0BED" w:rsidRDefault="00DB69ED" w:rsidP="003B6C75">
            <w:pPr>
              <w:spacing w:after="0" w:line="240" w:lineRule="auto"/>
              <w:rPr>
                <w:rFonts w:ascii="Calibri" w:eastAsia="Times New Roman" w:hAnsi="Calibri" w:cs="Calibri"/>
                <w:color w:val="000000"/>
                <w:sz w:val="20"/>
                <w:szCs w:val="20"/>
                <w:lang w:eastAsia="en-GB"/>
              </w:rPr>
            </w:pPr>
            <w:r w:rsidRPr="00AB0BED">
              <w:rPr>
                <w:rFonts w:ascii="Calibri" w:eastAsia="Times New Roman" w:hAnsi="Calibri" w:cs="Calibri"/>
                <w:color w:val="000000"/>
                <w:sz w:val="20"/>
                <w:szCs w:val="20"/>
                <w:lang w:eastAsia="en-GB"/>
              </w:rPr>
              <w:t>Likely</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8221B" w14:textId="77777777" w:rsidR="00DB69ED" w:rsidRPr="00AB0BED" w:rsidRDefault="00DB69ED" w:rsidP="003B6C75">
            <w:pPr>
              <w:spacing w:after="0" w:line="240" w:lineRule="auto"/>
              <w:rPr>
                <w:rFonts w:ascii="Calibri" w:eastAsia="Times New Roman" w:hAnsi="Calibri" w:cs="Calibri"/>
                <w:color w:val="000000"/>
                <w:sz w:val="20"/>
                <w:szCs w:val="20"/>
                <w:lang w:eastAsia="en-GB"/>
              </w:rPr>
            </w:pPr>
            <w:r w:rsidRPr="00AB0BED">
              <w:rPr>
                <w:rFonts w:ascii="Calibri" w:eastAsia="Times New Roman" w:hAnsi="Calibri" w:cs="Calibri"/>
                <w:color w:val="000000"/>
                <w:sz w:val="20"/>
                <w:szCs w:val="20"/>
                <w:lang w:eastAsia="en-GB"/>
              </w:rPr>
              <w:t xml:space="preserve">It is reasonable to assume that this risk will materialise at some point (possibly once or twice within the next five years). </w:t>
            </w:r>
          </w:p>
        </w:tc>
      </w:tr>
      <w:tr w:rsidR="00DB69ED" w:rsidRPr="00117735" w14:paraId="7C8F8F5D" w14:textId="77777777" w:rsidTr="007F417A">
        <w:trPr>
          <w:trHeight w:val="224"/>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A1350" w14:textId="77777777" w:rsidR="00DB69ED" w:rsidRPr="00117735" w:rsidRDefault="00DB69ED" w:rsidP="003B6C75">
            <w:pPr>
              <w:spacing w:after="0" w:line="240" w:lineRule="auto"/>
              <w:rPr>
                <w:rFonts w:ascii="Calibri" w:eastAsia="Times New Roman" w:hAnsi="Calibri" w:cs="Calibri"/>
                <w:color w:val="000000"/>
                <w:lang w:eastAsia="en-GB"/>
              </w:rPr>
            </w:pPr>
            <w:r w:rsidRPr="00117735">
              <w:rPr>
                <w:rFonts w:ascii="Calibri" w:eastAsia="Times New Roman" w:hAnsi="Calibri" w:cs="Calibri"/>
                <w:color w:val="000000"/>
                <w:lang w:eastAsia="en-GB"/>
              </w:rPr>
              <w:t>3</w:t>
            </w:r>
          </w:p>
        </w:tc>
        <w:tc>
          <w:tcPr>
            <w:tcW w:w="2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3B4EA" w14:textId="77777777" w:rsidR="00DB69ED" w:rsidRPr="00AB0BED" w:rsidRDefault="00DB69ED" w:rsidP="003B6C75">
            <w:pPr>
              <w:spacing w:after="0" w:line="240" w:lineRule="auto"/>
              <w:rPr>
                <w:rFonts w:ascii="Calibri" w:eastAsia="Times New Roman" w:hAnsi="Calibri" w:cs="Calibri"/>
                <w:color w:val="000000"/>
                <w:sz w:val="20"/>
                <w:szCs w:val="20"/>
                <w:lang w:eastAsia="en-GB"/>
              </w:rPr>
            </w:pPr>
            <w:r w:rsidRPr="00AB0BED">
              <w:rPr>
                <w:rFonts w:ascii="Calibri" w:eastAsia="Times New Roman" w:hAnsi="Calibri" w:cs="Calibri"/>
                <w:color w:val="000000"/>
                <w:sz w:val="20"/>
                <w:szCs w:val="20"/>
                <w:lang w:eastAsia="en-GB"/>
              </w:rPr>
              <w:t>Possible</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0281D" w14:textId="77777777" w:rsidR="00DB69ED" w:rsidRPr="00AB0BED" w:rsidRDefault="00DB69ED" w:rsidP="003B6C75">
            <w:pPr>
              <w:spacing w:after="0" w:line="240" w:lineRule="auto"/>
              <w:rPr>
                <w:rFonts w:ascii="Calibri" w:eastAsia="Times New Roman" w:hAnsi="Calibri" w:cs="Calibri"/>
                <w:color w:val="000000"/>
                <w:sz w:val="20"/>
                <w:szCs w:val="20"/>
                <w:lang w:eastAsia="en-GB"/>
              </w:rPr>
            </w:pPr>
            <w:r w:rsidRPr="00AB0BED">
              <w:rPr>
                <w:rFonts w:ascii="Calibri" w:eastAsia="Times New Roman" w:hAnsi="Calibri" w:cs="Calibri"/>
                <w:color w:val="000000"/>
                <w:sz w:val="20"/>
                <w:szCs w:val="20"/>
                <w:lang w:eastAsia="en-GB"/>
              </w:rPr>
              <w:t>It is reasonable to assume that the risk will materialise once or twice within a period of five to ten years.</w:t>
            </w:r>
          </w:p>
        </w:tc>
      </w:tr>
      <w:tr w:rsidR="00DB69ED" w:rsidRPr="00117735" w14:paraId="4505316B" w14:textId="77777777" w:rsidTr="007F417A">
        <w:trPr>
          <w:trHeight w:val="474"/>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BD0C8" w14:textId="77777777" w:rsidR="00DB69ED" w:rsidRPr="00117735" w:rsidRDefault="00DB69ED" w:rsidP="003B6C75">
            <w:pPr>
              <w:spacing w:after="0" w:line="240" w:lineRule="auto"/>
              <w:rPr>
                <w:rFonts w:ascii="Calibri" w:eastAsia="Times New Roman" w:hAnsi="Calibri" w:cs="Calibri"/>
                <w:color w:val="000000"/>
                <w:lang w:eastAsia="en-GB"/>
              </w:rPr>
            </w:pPr>
            <w:r w:rsidRPr="00117735">
              <w:rPr>
                <w:rFonts w:ascii="Calibri" w:eastAsia="Times New Roman" w:hAnsi="Calibri" w:cs="Calibri"/>
                <w:color w:val="000000"/>
                <w:lang w:eastAsia="en-GB"/>
              </w:rPr>
              <w:t>2</w:t>
            </w:r>
          </w:p>
        </w:tc>
        <w:tc>
          <w:tcPr>
            <w:tcW w:w="2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55502" w14:textId="77777777" w:rsidR="00DB69ED" w:rsidRPr="00AB0BED" w:rsidRDefault="00DB69ED" w:rsidP="003B6C75">
            <w:pPr>
              <w:spacing w:after="0" w:line="240" w:lineRule="auto"/>
              <w:rPr>
                <w:rFonts w:ascii="Calibri" w:eastAsia="Times New Roman" w:hAnsi="Calibri" w:cs="Calibri"/>
                <w:color w:val="000000"/>
                <w:sz w:val="20"/>
                <w:szCs w:val="20"/>
                <w:lang w:eastAsia="en-GB"/>
              </w:rPr>
            </w:pPr>
            <w:r w:rsidRPr="00AB0BED">
              <w:rPr>
                <w:rFonts w:ascii="Calibri" w:eastAsia="Times New Roman" w:hAnsi="Calibri" w:cs="Calibri"/>
                <w:color w:val="000000"/>
                <w:sz w:val="20"/>
                <w:szCs w:val="20"/>
                <w:lang w:eastAsia="en-GB"/>
              </w:rPr>
              <w:t>Unlikely</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B0B16" w14:textId="77777777" w:rsidR="00DB69ED" w:rsidRPr="00AB0BED" w:rsidRDefault="00DB69ED" w:rsidP="003B6C75">
            <w:pPr>
              <w:spacing w:after="0" w:line="240" w:lineRule="auto"/>
              <w:rPr>
                <w:rFonts w:ascii="Calibri" w:eastAsia="Times New Roman" w:hAnsi="Calibri" w:cs="Calibri"/>
                <w:color w:val="000000"/>
                <w:sz w:val="20"/>
                <w:szCs w:val="20"/>
                <w:lang w:eastAsia="en-GB"/>
              </w:rPr>
            </w:pPr>
            <w:r w:rsidRPr="00AB0BED">
              <w:rPr>
                <w:rFonts w:ascii="Calibri" w:eastAsia="Times New Roman" w:hAnsi="Calibri" w:cs="Calibri"/>
                <w:color w:val="000000"/>
                <w:sz w:val="20"/>
                <w:szCs w:val="20"/>
                <w:lang w:eastAsia="en-GB"/>
              </w:rPr>
              <w:t>There is a low probability of the risk materialising (there is a possibility that this could happen at least once within a period of five to ten years, but it is considered unlikely).</w:t>
            </w:r>
          </w:p>
        </w:tc>
      </w:tr>
      <w:tr w:rsidR="00DB69ED" w:rsidRPr="00117735" w14:paraId="62094974" w14:textId="77777777" w:rsidTr="007F417A">
        <w:trPr>
          <w:trHeight w:val="519"/>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5BB52" w14:textId="77777777" w:rsidR="00DB69ED" w:rsidRPr="00117735" w:rsidRDefault="00DB69ED" w:rsidP="003B6C75">
            <w:pPr>
              <w:spacing w:after="0" w:line="240" w:lineRule="auto"/>
              <w:rPr>
                <w:rFonts w:ascii="Calibri" w:eastAsia="Times New Roman" w:hAnsi="Calibri" w:cs="Calibri"/>
                <w:color w:val="000000"/>
                <w:lang w:eastAsia="en-GB"/>
              </w:rPr>
            </w:pPr>
            <w:r w:rsidRPr="00117735">
              <w:rPr>
                <w:rFonts w:ascii="Calibri" w:eastAsia="Times New Roman" w:hAnsi="Calibri" w:cs="Calibri"/>
                <w:color w:val="000000"/>
                <w:lang w:eastAsia="en-GB"/>
              </w:rPr>
              <w:t>1</w:t>
            </w:r>
          </w:p>
        </w:tc>
        <w:tc>
          <w:tcPr>
            <w:tcW w:w="2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036BE" w14:textId="77777777" w:rsidR="00DB69ED" w:rsidRPr="00AB0BED" w:rsidRDefault="00DB69ED" w:rsidP="003B6C75">
            <w:pPr>
              <w:spacing w:after="0" w:line="240" w:lineRule="auto"/>
              <w:rPr>
                <w:rFonts w:ascii="Calibri" w:eastAsia="Times New Roman" w:hAnsi="Calibri" w:cs="Calibri"/>
                <w:color w:val="000000"/>
                <w:sz w:val="20"/>
                <w:szCs w:val="20"/>
                <w:lang w:eastAsia="en-GB"/>
              </w:rPr>
            </w:pPr>
            <w:r w:rsidRPr="00AB0BED">
              <w:rPr>
                <w:rFonts w:ascii="Calibri" w:eastAsia="Times New Roman" w:hAnsi="Calibri" w:cs="Calibri"/>
                <w:color w:val="000000"/>
                <w:sz w:val="20"/>
                <w:szCs w:val="20"/>
                <w:lang w:eastAsia="en-GB"/>
              </w:rPr>
              <w:t>Highly unlikely</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0FDE7" w14:textId="77777777" w:rsidR="00DB69ED" w:rsidRPr="00AB0BED" w:rsidRDefault="00DB69ED" w:rsidP="003B6C75">
            <w:pPr>
              <w:spacing w:after="0" w:line="240" w:lineRule="auto"/>
              <w:rPr>
                <w:rFonts w:ascii="Calibri" w:eastAsia="Times New Roman" w:hAnsi="Calibri" w:cs="Calibri"/>
                <w:color w:val="000000"/>
                <w:sz w:val="20"/>
                <w:szCs w:val="20"/>
                <w:lang w:eastAsia="en-GB"/>
              </w:rPr>
            </w:pPr>
            <w:r w:rsidRPr="00AB0BED">
              <w:rPr>
                <w:rFonts w:ascii="Calibri" w:eastAsia="Times New Roman" w:hAnsi="Calibri" w:cs="Calibri"/>
                <w:color w:val="000000"/>
                <w:sz w:val="20"/>
                <w:szCs w:val="20"/>
                <w:lang w:eastAsia="en-GB"/>
              </w:rPr>
              <w:t>There is a very low probability of the risk materialising (this is not expected to happen but it may do in exceptional or unusual circumstances - it has been known to happen at this or another University once in the past).</w:t>
            </w:r>
          </w:p>
        </w:tc>
      </w:tr>
    </w:tbl>
    <w:p w14:paraId="7C8595D0" w14:textId="77777777" w:rsidR="00362172" w:rsidRDefault="00362172"/>
    <w:tbl>
      <w:tblPr>
        <w:tblW w:w="9918" w:type="dxa"/>
        <w:tblCellMar>
          <w:top w:w="15" w:type="dxa"/>
          <w:bottom w:w="15" w:type="dxa"/>
        </w:tblCellMar>
        <w:tblLook w:val="04A0" w:firstRow="1" w:lastRow="0" w:firstColumn="1" w:lastColumn="0" w:noHBand="0" w:noVBand="1"/>
      </w:tblPr>
      <w:tblGrid>
        <w:gridCol w:w="2689"/>
        <w:gridCol w:w="7229"/>
      </w:tblGrid>
      <w:tr w:rsidR="00836BE5" w:rsidRPr="00362172" w14:paraId="3DAD817B" w14:textId="77777777" w:rsidTr="007F417A">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3E5B8" w14:textId="77777777" w:rsidR="00836BE5" w:rsidRPr="002B1E18" w:rsidRDefault="00836BE5" w:rsidP="00836BE5">
            <w:pPr>
              <w:spacing w:after="0" w:line="240" w:lineRule="auto"/>
              <w:rPr>
                <w:rFonts w:ascii="Calibri" w:eastAsia="Times New Roman" w:hAnsi="Calibri" w:cs="Calibri"/>
                <w:b/>
                <w:bCs/>
                <w:color w:val="2F5496" w:themeColor="accent1" w:themeShade="BF"/>
                <w:sz w:val="20"/>
                <w:szCs w:val="20"/>
                <w:lang w:eastAsia="en-GB"/>
              </w:rPr>
            </w:pPr>
            <w:r w:rsidRPr="002B1E18">
              <w:rPr>
                <w:rFonts w:ascii="Calibri" w:eastAsia="Times New Roman" w:hAnsi="Calibri" w:cs="Calibri"/>
                <w:b/>
                <w:bCs/>
                <w:color w:val="000000"/>
                <w:sz w:val="20"/>
                <w:szCs w:val="20"/>
                <w:lang w:eastAsia="en-GB"/>
              </w:rPr>
              <w:t>Risk Appetite</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A6BFD" w14:textId="77777777" w:rsidR="00836BE5" w:rsidRPr="00362172" w:rsidRDefault="00836BE5" w:rsidP="00836BE5">
            <w:pPr>
              <w:spacing w:after="0" w:line="240" w:lineRule="auto"/>
              <w:rPr>
                <w:rFonts w:ascii="Times New Roman" w:eastAsia="Times New Roman" w:hAnsi="Times New Roman" w:cs="Times New Roman"/>
                <w:sz w:val="20"/>
                <w:szCs w:val="20"/>
                <w:lang w:eastAsia="en-GB"/>
              </w:rPr>
            </w:pPr>
          </w:p>
        </w:tc>
      </w:tr>
      <w:tr w:rsidR="00836BE5" w:rsidRPr="00362172" w14:paraId="1D9C4F53" w14:textId="77777777" w:rsidTr="007F417A">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14:paraId="444D2AD8" w14:textId="77777777" w:rsidR="00836BE5" w:rsidRPr="002B1E18" w:rsidRDefault="00836BE5" w:rsidP="00836BE5">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Averse</w:t>
            </w:r>
          </w:p>
        </w:tc>
        <w:tc>
          <w:tcPr>
            <w:tcW w:w="7229" w:type="dxa"/>
            <w:tcBorders>
              <w:top w:val="single" w:sz="4" w:space="0" w:color="auto"/>
              <w:left w:val="single" w:sz="4" w:space="0" w:color="auto"/>
              <w:bottom w:val="single" w:sz="4" w:space="0" w:color="auto"/>
              <w:right w:val="single" w:sz="4" w:space="0" w:color="auto"/>
            </w:tcBorders>
            <w:shd w:val="clear" w:color="auto" w:fill="auto"/>
            <w:noWrap/>
            <w:hideMark/>
          </w:tcPr>
          <w:p w14:paraId="5F716E2B" w14:textId="77777777" w:rsidR="00836BE5" w:rsidRPr="002B1E18" w:rsidRDefault="00836BE5" w:rsidP="00836BE5">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Avoidance of risk and uncertainty is key.</w:t>
            </w:r>
          </w:p>
        </w:tc>
      </w:tr>
      <w:tr w:rsidR="00836BE5" w:rsidRPr="00362172" w14:paraId="5BC6A86A" w14:textId="77777777" w:rsidTr="007F417A">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14:paraId="109BE59E" w14:textId="77777777" w:rsidR="00836BE5" w:rsidRPr="002B1E18" w:rsidRDefault="00836BE5" w:rsidP="00836BE5">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Cautious</w:t>
            </w:r>
          </w:p>
        </w:tc>
        <w:tc>
          <w:tcPr>
            <w:tcW w:w="7229" w:type="dxa"/>
            <w:tcBorders>
              <w:top w:val="single" w:sz="4" w:space="0" w:color="auto"/>
              <w:left w:val="single" w:sz="4" w:space="0" w:color="auto"/>
              <w:bottom w:val="single" w:sz="4" w:space="0" w:color="auto"/>
              <w:right w:val="single" w:sz="4" w:space="0" w:color="auto"/>
            </w:tcBorders>
            <w:shd w:val="clear" w:color="auto" w:fill="auto"/>
            <w:noWrap/>
            <w:hideMark/>
          </w:tcPr>
          <w:p w14:paraId="47C4964B" w14:textId="77777777" w:rsidR="00836BE5" w:rsidRPr="002B1E18" w:rsidRDefault="00836BE5" w:rsidP="00836BE5">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Preference for safer options that have a low degree of inherent risk and may only have limited potential for reward.</w:t>
            </w:r>
          </w:p>
        </w:tc>
      </w:tr>
      <w:tr w:rsidR="00836BE5" w:rsidRPr="00362172" w14:paraId="0192296C" w14:textId="77777777" w:rsidTr="007F417A">
        <w:trPr>
          <w:trHeight w:val="57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14:paraId="6F37DD4C" w14:textId="77777777" w:rsidR="00836BE5" w:rsidRPr="002B1E18" w:rsidRDefault="00836BE5" w:rsidP="00836BE5">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Open</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4D3190F0" w14:textId="77777777" w:rsidR="00836BE5" w:rsidRPr="002B1E18" w:rsidRDefault="00836BE5" w:rsidP="00836BE5">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Willing to consider all potential options and choose the one most likely to result in successful delivery, while also providing an acceptable level of reward and value for money.</w:t>
            </w:r>
          </w:p>
        </w:tc>
      </w:tr>
      <w:tr w:rsidR="00836BE5" w:rsidRPr="00362172" w14:paraId="05FD7AEA" w14:textId="77777777" w:rsidTr="007F417A">
        <w:trPr>
          <w:trHeight w:val="396"/>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14:paraId="5F4BCCBB" w14:textId="77777777" w:rsidR="00836BE5" w:rsidRPr="002B1E18" w:rsidRDefault="00836BE5" w:rsidP="00836BE5">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Hungry</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79F9FA1F" w14:textId="77777777" w:rsidR="00836BE5" w:rsidRPr="002B1E18" w:rsidRDefault="00836BE5" w:rsidP="00836BE5">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Eager to be innovative and to choose options offering potentially higher business rewards, despite greater inherent risk.</w:t>
            </w:r>
          </w:p>
        </w:tc>
      </w:tr>
    </w:tbl>
    <w:p w14:paraId="62955B7E" w14:textId="77777777" w:rsidR="002B1E18" w:rsidRDefault="002B1E18"/>
    <w:tbl>
      <w:tblPr>
        <w:tblW w:w="9918" w:type="dxa"/>
        <w:tblCellMar>
          <w:top w:w="15" w:type="dxa"/>
          <w:bottom w:w="15" w:type="dxa"/>
        </w:tblCellMar>
        <w:tblLook w:val="04A0" w:firstRow="1" w:lastRow="0" w:firstColumn="1" w:lastColumn="0" w:noHBand="0" w:noVBand="1"/>
      </w:tblPr>
      <w:tblGrid>
        <w:gridCol w:w="2689"/>
        <w:gridCol w:w="7229"/>
      </w:tblGrid>
      <w:tr w:rsidR="007E51D2" w:rsidRPr="00362172" w14:paraId="34ABF40C" w14:textId="77777777" w:rsidTr="007F417A">
        <w:trPr>
          <w:trHeight w:val="388"/>
        </w:trPr>
        <w:tc>
          <w:tcPr>
            <w:tcW w:w="2689" w:type="dxa"/>
            <w:tcBorders>
              <w:top w:val="single" w:sz="4" w:space="0" w:color="auto"/>
              <w:left w:val="single" w:sz="4" w:space="0" w:color="auto"/>
              <w:bottom w:val="single" w:sz="4" w:space="0" w:color="auto"/>
              <w:right w:val="single" w:sz="4" w:space="0" w:color="auto"/>
            </w:tcBorders>
            <w:shd w:val="clear" w:color="auto" w:fill="auto"/>
            <w:noWrap/>
          </w:tcPr>
          <w:p w14:paraId="20ABC7AF" w14:textId="6EFBA991" w:rsidR="007E51D2" w:rsidRPr="007E51D2" w:rsidRDefault="007E51D2" w:rsidP="00362172">
            <w:pPr>
              <w:spacing w:after="0" w:line="240" w:lineRule="auto"/>
              <w:rPr>
                <w:rFonts w:ascii="Calibri" w:eastAsia="Times New Roman" w:hAnsi="Calibri" w:cs="Calibri"/>
                <w:color w:val="000000"/>
                <w:sz w:val="20"/>
                <w:szCs w:val="20"/>
                <w:lang w:eastAsia="en-GB"/>
              </w:rPr>
            </w:pPr>
            <w:r w:rsidRPr="007E51D2">
              <w:rPr>
                <w:rFonts w:ascii="Calibri" w:eastAsia="Times New Roman" w:hAnsi="Calibri" w:cs="Calibri"/>
                <w:b/>
                <w:bCs/>
                <w:color w:val="000000"/>
                <w:sz w:val="20"/>
                <w:szCs w:val="20"/>
                <w:lang w:eastAsia="en-GB"/>
              </w:rPr>
              <w:lastRenderedPageBreak/>
              <w:t>Risk Proximity</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9184F6D" w14:textId="61EF6A58" w:rsidR="007E51D2" w:rsidRPr="007E51D2" w:rsidRDefault="007E51D2" w:rsidP="00362172">
            <w:pPr>
              <w:spacing w:after="0" w:line="240" w:lineRule="auto"/>
              <w:rPr>
                <w:rFonts w:ascii="Calibri" w:eastAsia="Times New Roman" w:hAnsi="Calibri" w:cs="Calibri"/>
                <w:color w:val="000000"/>
                <w:sz w:val="20"/>
                <w:szCs w:val="20"/>
                <w:lang w:eastAsia="en-GB"/>
              </w:rPr>
            </w:pPr>
          </w:p>
        </w:tc>
      </w:tr>
      <w:tr w:rsidR="007E51D2" w:rsidRPr="00362172" w14:paraId="423E37A8" w14:textId="77777777" w:rsidTr="007F417A">
        <w:trPr>
          <w:trHeight w:val="570"/>
        </w:trPr>
        <w:tc>
          <w:tcPr>
            <w:tcW w:w="2689" w:type="dxa"/>
            <w:tcBorders>
              <w:top w:val="single" w:sz="4" w:space="0" w:color="auto"/>
              <w:left w:val="single" w:sz="4" w:space="0" w:color="auto"/>
              <w:bottom w:val="single" w:sz="4" w:space="0" w:color="auto"/>
              <w:right w:val="single" w:sz="4" w:space="0" w:color="auto"/>
            </w:tcBorders>
            <w:shd w:val="clear" w:color="auto" w:fill="auto"/>
            <w:noWrap/>
          </w:tcPr>
          <w:p w14:paraId="66C8F7CB" w14:textId="217557EB" w:rsidR="007E51D2" w:rsidRPr="007E51D2" w:rsidRDefault="007E51D2" w:rsidP="00362172">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Short-ter</w:t>
            </w:r>
            <w:r w:rsidR="00CA6AC0">
              <w:rPr>
                <w:rFonts w:ascii="Calibri" w:eastAsia="Times New Roman" w:hAnsi="Calibri" w:cs="Calibri"/>
                <w:color w:val="000000"/>
                <w:sz w:val="20"/>
                <w:szCs w:val="20"/>
                <w:lang w:eastAsia="en-GB"/>
              </w:rPr>
              <w:t>m</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46D70742" w14:textId="02DC4C36" w:rsidR="007E51D2" w:rsidRPr="007E51D2" w:rsidRDefault="00CA6AC0" w:rsidP="00362172">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If it happens it is likely to happen within 6 months</w:t>
            </w:r>
          </w:p>
        </w:tc>
      </w:tr>
      <w:tr w:rsidR="007E51D2" w:rsidRPr="00362172" w14:paraId="5E940585" w14:textId="77777777" w:rsidTr="007F417A">
        <w:trPr>
          <w:trHeight w:val="570"/>
        </w:trPr>
        <w:tc>
          <w:tcPr>
            <w:tcW w:w="2689" w:type="dxa"/>
            <w:tcBorders>
              <w:top w:val="single" w:sz="4" w:space="0" w:color="auto"/>
              <w:left w:val="single" w:sz="4" w:space="0" w:color="auto"/>
              <w:bottom w:val="single" w:sz="4" w:space="0" w:color="auto"/>
              <w:right w:val="single" w:sz="4" w:space="0" w:color="auto"/>
            </w:tcBorders>
            <w:shd w:val="clear" w:color="auto" w:fill="auto"/>
            <w:noWrap/>
          </w:tcPr>
          <w:p w14:paraId="2B796261" w14:textId="0E8B9621" w:rsidR="007E51D2" w:rsidRPr="007E51D2" w:rsidRDefault="00CA6AC0" w:rsidP="00362172">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Medium-term</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ABFE3D3" w14:textId="6DF5F645" w:rsidR="007E51D2" w:rsidRPr="007E51D2" w:rsidRDefault="00CA6AC0" w:rsidP="00362172">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If it happens it is likely to happen within 6-12 months</w:t>
            </w:r>
          </w:p>
        </w:tc>
      </w:tr>
      <w:tr w:rsidR="007E51D2" w:rsidRPr="00362172" w14:paraId="5794D2AD" w14:textId="77777777" w:rsidTr="007F417A">
        <w:trPr>
          <w:trHeight w:val="570"/>
        </w:trPr>
        <w:tc>
          <w:tcPr>
            <w:tcW w:w="2689" w:type="dxa"/>
            <w:tcBorders>
              <w:top w:val="single" w:sz="4" w:space="0" w:color="auto"/>
              <w:left w:val="single" w:sz="4" w:space="0" w:color="auto"/>
              <w:bottom w:val="single" w:sz="4" w:space="0" w:color="auto"/>
              <w:right w:val="single" w:sz="4" w:space="0" w:color="auto"/>
            </w:tcBorders>
            <w:shd w:val="clear" w:color="auto" w:fill="auto"/>
            <w:noWrap/>
          </w:tcPr>
          <w:p w14:paraId="4419C918" w14:textId="3EACB698" w:rsidR="007E51D2" w:rsidRPr="007E51D2" w:rsidRDefault="00CA6AC0" w:rsidP="00362172">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Long-term</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C44699F" w14:textId="6575F567" w:rsidR="007E51D2" w:rsidRPr="007E51D2" w:rsidRDefault="00CA6AC0" w:rsidP="00362172">
            <w:pPr>
              <w:spacing w:after="0" w:line="240" w:lineRule="auto"/>
              <w:rPr>
                <w:rFonts w:ascii="Calibri" w:eastAsia="Times New Roman" w:hAnsi="Calibri" w:cs="Calibri"/>
                <w:color w:val="000000"/>
                <w:sz w:val="20"/>
                <w:szCs w:val="20"/>
                <w:lang w:eastAsia="en-GB"/>
              </w:rPr>
            </w:pPr>
            <w:r w:rsidRPr="002B1E18">
              <w:rPr>
                <w:rFonts w:ascii="Calibri" w:eastAsia="Times New Roman" w:hAnsi="Calibri" w:cs="Calibri"/>
                <w:color w:val="000000"/>
                <w:sz w:val="20"/>
                <w:szCs w:val="20"/>
                <w:lang w:eastAsia="en-GB"/>
              </w:rPr>
              <w:t>If it happens it is likely to happen after 12 months</w:t>
            </w:r>
          </w:p>
        </w:tc>
      </w:tr>
    </w:tbl>
    <w:p w14:paraId="445C1242" w14:textId="77777777" w:rsidR="00362172" w:rsidRDefault="00362172"/>
    <w:sectPr w:rsidR="00362172" w:rsidSect="00CE57A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AA62A" w14:textId="77777777" w:rsidR="00CE57A1" w:rsidRDefault="00CE57A1" w:rsidP="00D955EA">
      <w:pPr>
        <w:spacing w:after="0" w:line="240" w:lineRule="auto"/>
      </w:pPr>
      <w:r>
        <w:separator/>
      </w:r>
    </w:p>
  </w:endnote>
  <w:endnote w:type="continuationSeparator" w:id="0">
    <w:p w14:paraId="4933E07E" w14:textId="77777777" w:rsidR="00CE57A1" w:rsidRDefault="00CE57A1" w:rsidP="00D95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5928427"/>
      <w:docPartObj>
        <w:docPartGallery w:val="Page Numbers (Bottom of Page)"/>
        <w:docPartUnique/>
      </w:docPartObj>
    </w:sdtPr>
    <w:sdtEndPr>
      <w:rPr>
        <w:noProof/>
        <w:sz w:val="20"/>
        <w:szCs w:val="20"/>
      </w:rPr>
    </w:sdtEndPr>
    <w:sdtContent>
      <w:p w14:paraId="22899FF1" w14:textId="36647AEA" w:rsidR="0040290C" w:rsidRPr="0040290C" w:rsidRDefault="0040290C">
        <w:pPr>
          <w:pStyle w:val="Footer"/>
          <w:jc w:val="center"/>
          <w:rPr>
            <w:sz w:val="20"/>
            <w:szCs w:val="20"/>
          </w:rPr>
        </w:pPr>
        <w:r w:rsidRPr="0040290C">
          <w:rPr>
            <w:sz w:val="20"/>
            <w:szCs w:val="20"/>
          </w:rPr>
          <w:fldChar w:fldCharType="begin"/>
        </w:r>
        <w:r w:rsidRPr="0040290C">
          <w:rPr>
            <w:sz w:val="20"/>
            <w:szCs w:val="20"/>
          </w:rPr>
          <w:instrText xml:space="preserve"> PAGE   \* MERGEFORMAT </w:instrText>
        </w:r>
        <w:r w:rsidRPr="0040290C">
          <w:rPr>
            <w:sz w:val="20"/>
            <w:szCs w:val="20"/>
          </w:rPr>
          <w:fldChar w:fldCharType="separate"/>
        </w:r>
        <w:r w:rsidRPr="0040290C">
          <w:rPr>
            <w:noProof/>
            <w:sz w:val="20"/>
            <w:szCs w:val="20"/>
          </w:rPr>
          <w:t>2</w:t>
        </w:r>
        <w:r w:rsidRPr="0040290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3E860" w14:textId="77777777" w:rsidR="00CE57A1" w:rsidRDefault="00CE57A1" w:rsidP="00D955EA">
      <w:pPr>
        <w:spacing w:after="0" w:line="240" w:lineRule="auto"/>
      </w:pPr>
      <w:r>
        <w:separator/>
      </w:r>
    </w:p>
  </w:footnote>
  <w:footnote w:type="continuationSeparator" w:id="0">
    <w:p w14:paraId="407DC214" w14:textId="77777777" w:rsidR="00CE57A1" w:rsidRDefault="00CE57A1" w:rsidP="00D95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3965"/>
    <w:multiLevelType w:val="hybridMultilevel"/>
    <w:tmpl w:val="52505152"/>
    <w:lvl w:ilvl="0" w:tplc="BD68F7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F72B94"/>
    <w:multiLevelType w:val="multilevel"/>
    <w:tmpl w:val="88686530"/>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15416"/>
    <w:multiLevelType w:val="hybridMultilevel"/>
    <w:tmpl w:val="16867C0A"/>
    <w:lvl w:ilvl="0" w:tplc="BD68F7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F50429"/>
    <w:multiLevelType w:val="hybridMultilevel"/>
    <w:tmpl w:val="839A47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C14281"/>
    <w:multiLevelType w:val="multilevel"/>
    <w:tmpl w:val="23A84C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103D8E"/>
    <w:multiLevelType w:val="hybridMultilevel"/>
    <w:tmpl w:val="69BA9F26"/>
    <w:lvl w:ilvl="0" w:tplc="BD68F7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A87546"/>
    <w:multiLevelType w:val="hybridMultilevel"/>
    <w:tmpl w:val="94AAB3CE"/>
    <w:lvl w:ilvl="0" w:tplc="BD68F75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FE10D8"/>
    <w:multiLevelType w:val="hybridMultilevel"/>
    <w:tmpl w:val="D99CB8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BF1370"/>
    <w:multiLevelType w:val="hybridMultilevel"/>
    <w:tmpl w:val="DD36FC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7D0A4C"/>
    <w:multiLevelType w:val="multilevel"/>
    <w:tmpl w:val="2A6E2944"/>
    <w:lvl w:ilvl="0">
      <w:start w:val="1"/>
      <w:numFmt w:val="bullet"/>
      <w:lvlText w:val=""/>
      <w:lvlJc w:val="left"/>
      <w:pPr>
        <w:ind w:left="732" w:hanging="360"/>
      </w:pPr>
      <w:rPr>
        <w:rFonts w:ascii="Symbol" w:hAnsi="Symbol" w:hint="default"/>
      </w:rPr>
    </w:lvl>
    <w:lvl w:ilvl="1">
      <w:start w:val="1"/>
      <w:numFmt w:val="bullet"/>
      <w:lvlText w:val=""/>
      <w:lvlJc w:val="left"/>
      <w:pPr>
        <w:ind w:left="732" w:hanging="360"/>
      </w:pPr>
      <w:rPr>
        <w:rFonts w:ascii="Symbol" w:hAnsi="Symbol" w:hint="default"/>
      </w:rPr>
    </w:lvl>
    <w:lvl w:ilvl="2">
      <w:start w:val="1"/>
      <w:numFmt w:val="decimal"/>
      <w:lvlText w:val="%1.%2.%3"/>
      <w:lvlJc w:val="left"/>
      <w:pPr>
        <w:ind w:left="1092" w:hanging="720"/>
      </w:pPr>
      <w:rPr>
        <w:rFonts w:hint="default"/>
      </w:rPr>
    </w:lvl>
    <w:lvl w:ilvl="3">
      <w:start w:val="1"/>
      <w:numFmt w:val="decimal"/>
      <w:lvlText w:val="%1.%2.%3.%4"/>
      <w:lvlJc w:val="left"/>
      <w:pPr>
        <w:ind w:left="1092" w:hanging="72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452" w:hanging="1080"/>
      </w:pPr>
      <w:rPr>
        <w:rFonts w:hint="default"/>
      </w:rPr>
    </w:lvl>
    <w:lvl w:ilvl="6">
      <w:start w:val="1"/>
      <w:numFmt w:val="decimal"/>
      <w:lvlText w:val="%1.%2.%3.%4.%5.%6.%7"/>
      <w:lvlJc w:val="left"/>
      <w:pPr>
        <w:ind w:left="1812" w:hanging="1440"/>
      </w:pPr>
      <w:rPr>
        <w:rFonts w:hint="default"/>
      </w:rPr>
    </w:lvl>
    <w:lvl w:ilvl="7">
      <w:start w:val="1"/>
      <w:numFmt w:val="decimal"/>
      <w:lvlText w:val="%1.%2.%3.%4.%5.%6.%7.%8"/>
      <w:lvlJc w:val="left"/>
      <w:pPr>
        <w:ind w:left="1812" w:hanging="1440"/>
      </w:pPr>
      <w:rPr>
        <w:rFonts w:hint="default"/>
      </w:rPr>
    </w:lvl>
    <w:lvl w:ilvl="8">
      <w:start w:val="1"/>
      <w:numFmt w:val="decimal"/>
      <w:lvlText w:val="%1.%2.%3.%4.%5.%6.%7.%8.%9"/>
      <w:lvlJc w:val="left"/>
      <w:pPr>
        <w:ind w:left="2172" w:hanging="1800"/>
      </w:pPr>
      <w:rPr>
        <w:rFonts w:hint="default"/>
      </w:rPr>
    </w:lvl>
  </w:abstractNum>
  <w:abstractNum w:abstractNumId="10" w15:restartNumberingAfterBreak="0">
    <w:nsid w:val="22985046"/>
    <w:multiLevelType w:val="hybridMultilevel"/>
    <w:tmpl w:val="B74C91AE"/>
    <w:lvl w:ilvl="0" w:tplc="953CC8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A32EA1"/>
    <w:multiLevelType w:val="hybridMultilevel"/>
    <w:tmpl w:val="017C34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4E4314"/>
    <w:multiLevelType w:val="hybridMultilevel"/>
    <w:tmpl w:val="44F27D5E"/>
    <w:lvl w:ilvl="0" w:tplc="0809000F">
      <w:start w:val="1"/>
      <w:numFmt w:val="decimal"/>
      <w:lvlText w:val="%1."/>
      <w:lvlJc w:val="left"/>
      <w:pPr>
        <w:ind w:left="1507" w:hanging="360"/>
      </w:pPr>
    </w:lvl>
    <w:lvl w:ilvl="1" w:tplc="08090019" w:tentative="1">
      <w:start w:val="1"/>
      <w:numFmt w:val="lowerLetter"/>
      <w:lvlText w:val="%2."/>
      <w:lvlJc w:val="left"/>
      <w:pPr>
        <w:ind w:left="2227" w:hanging="360"/>
      </w:pPr>
    </w:lvl>
    <w:lvl w:ilvl="2" w:tplc="0809001B" w:tentative="1">
      <w:start w:val="1"/>
      <w:numFmt w:val="lowerRoman"/>
      <w:lvlText w:val="%3."/>
      <w:lvlJc w:val="right"/>
      <w:pPr>
        <w:ind w:left="2947" w:hanging="180"/>
      </w:pPr>
    </w:lvl>
    <w:lvl w:ilvl="3" w:tplc="0809000F" w:tentative="1">
      <w:start w:val="1"/>
      <w:numFmt w:val="decimal"/>
      <w:lvlText w:val="%4."/>
      <w:lvlJc w:val="left"/>
      <w:pPr>
        <w:ind w:left="3667" w:hanging="360"/>
      </w:pPr>
    </w:lvl>
    <w:lvl w:ilvl="4" w:tplc="08090019" w:tentative="1">
      <w:start w:val="1"/>
      <w:numFmt w:val="lowerLetter"/>
      <w:lvlText w:val="%5."/>
      <w:lvlJc w:val="left"/>
      <w:pPr>
        <w:ind w:left="4387" w:hanging="360"/>
      </w:pPr>
    </w:lvl>
    <w:lvl w:ilvl="5" w:tplc="0809001B" w:tentative="1">
      <w:start w:val="1"/>
      <w:numFmt w:val="lowerRoman"/>
      <w:lvlText w:val="%6."/>
      <w:lvlJc w:val="right"/>
      <w:pPr>
        <w:ind w:left="5107" w:hanging="180"/>
      </w:pPr>
    </w:lvl>
    <w:lvl w:ilvl="6" w:tplc="0809000F" w:tentative="1">
      <w:start w:val="1"/>
      <w:numFmt w:val="decimal"/>
      <w:lvlText w:val="%7."/>
      <w:lvlJc w:val="left"/>
      <w:pPr>
        <w:ind w:left="5827" w:hanging="360"/>
      </w:pPr>
    </w:lvl>
    <w:lvl w:ilvl="7" w:tplc="08090019" w:tentative="1">
      <w:start w:val="1"/>
      <w:numFmt w:val="lowerLetter"/>
      <w:lvlText w:val="%8."/>
      <w:lvlJc w:val="left"/>
      <w:pPr>
        <w:ind w:left="6547" w:hanging="360"/>
      </w:pPr>
    </w:lvl>
    <w:lvl w:ilvl="8" w:tplc="0809001B" w:tentative="1">
      <w:start w:val="1"/>
      <w:numFmt w:val="lowerRoman"/>
      <w:lvlText w:val="%9."/>
      <w:lvlJc w:val="right"/>
      <w:pPr>
        <w:ind w:left="7267" w:hanging="180"/>
      </w:pPr>
    </w:lvl>
  </w:abstractNum>
  <w:abstractNum w:abstractNumId="13" w15:restartNumberingAfterBreak="0">
    <w:nsid w:val="29F718F0"/>
    <w:multiLevelType w:val="multilevel"/>
    <w:tmpl w:val="EE1E9C96"/>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912B5F"/>
    <w:multiLevelType w:val="hybridMultilevel"/>
    <w:tmpl w:val="A53680B2"/>
    <w:lvl w:ilvl="0" w:tplc="31120DFA">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B81D42"/>
    <w:multiLevelType w:val="multilevel"/>
    <w:tmpl w:val="343AE35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FD0E02"/>
    <w:multiLevelType w:val="hybridMultilevel"/>
    <w:tmpl w:val="41F006AC"/>
    <w:lvl w:ilvl="0" w:tplc="BD68F7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E43026A"/>
    <w:multiLevelType w:val="multilevel"/>
    <w:tmpl w:val="7E1EB140"/>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00624D5"/>
    <w:multiLevelType w:val="hybridMultilevel"/>
    <w:tmpl w:val="57EED5C2"/>
    <w:lvl w:ilvl="0" w:tplc="BD68F75E">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320083B"/>
    <w:multiLevelType w:val="hybridMultilevel"/>
    <w:tmpl w:val="EB4A37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4637836"/>
    <w:multiLevelType w:val="hybridMultilevel"/>
    <w:tmpl w:val="E57C7648"/>
    <w:lvl w:ilvl="0" w:tplc="BD68F7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9B2173C"/>
    <w:multiLevelType w:val="multilevel"/>
    <w:tmpl w:val="12C21E4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BD3599"/>
    <w:multiLevelType w:val="hybridMultilevel"/>
    <w:tmpl w:val="D3D2A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920609"/>
    <w:multiLevelType w:val="hybridMultilevel"/>
    <w:tmpl w:val="931630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C3504D4"/>
    <w:multiLevelType w:val="hybridMultilevel"/>
    <w:tmpl w:val="E29AA950"/>
    <w:lvl w:ilvl="0" w:tplc="6306741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102553"/>
    <w:multiLevelType w:val="hybridMultilevel"/>
    <w:tmpl w:val="4792FEE0"/>
    <w:lvl w:ilvl="0" w:tplc="63067414">
      <w:start w:val="2"/>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4B50C0F"/>
    <w:multiLevelType w:val="multilevel"/>
    <w:tmpl w:val="20F498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9225BF6"/>
    <w:multiLevelType w:val="multilevel"/>
    <w:tmpl w:val="88686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711060"/>
    <w:multiLevelType w:val="multilevel"/>
    <w:tmpl w:val="9F66BCA0"/>
    <w:lvl w:ilvl="0">
      <w:start w:val="8"/>
      <w:numFmt w:val="decimal"/>
      <w:lvlText w:val="%1"/>
      <w:lvlJc w:val="left"/>
      <w:pPr>
        <w:ind w:left="360" w:hanging="360"/>
      </w:pPr>
      <w:rPr>
        <w:rFonts w:hint="default"/>
        <w:b/>
        <w:bCs w:val="0"/>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DD948C8"/>
    <w:multiLevelType w:val="hybridMultilevel"/>
    <w:tmpl w:val="DDD00C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F97E41"/>
    <w:multiLevelType w:val="multilevel"/>
    <w:tmpl w:val="EEFCD0A4"/>
    <w:lvl w:ilvl="0">
      <w:start w:val="1"/>
      <w:numFmt w:val="lowerLetter"/>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1" w15:restartNumberingAfterBreak="0">
    <w:nsid w:val="52455DF9"/>
    <w:multiLevelType w:val="hybridMultilevel"/>
    <w:tmpl w:val="88A805E8"/>
    <w:lvl w:ilvl="0" w:tplc="FFFFFFFF">
      <w:start w:val="1"/>
      <w:numFmt w:val="bullet"/>
      <w:lvlText w:val=""/>
      <w:lvlJc w:val="left"/>
      <w:pPr>
        <w:ind w:left="1080" w:hanging="360"/>
      </w:pPr>
      <w:rPr>
        <w:rFonts w:ascii="Symbol" w:hAnsi="Symbol" w:hint="default"/>
      </w:rPr>
    </w:lvl>
    <w:lvl w:ilvl="1" w:tplc="63067414">
      <w:start w:val="2"/>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74546B5"/>
    <w:multiLevelType w:val="hybridMultilevel"/>
    <w:tmpl w:val="83B2DA96"/>
    <w:lvl w:ilvl="0" w:tplc="BD68F7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956011"/>
    <w:multiLevelType w:val="multilevel"/>
    <w:tmpl w:val="542691F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53575D"/>
    <w:multiLevelType w:val="hybridMultilevel"/>
    <w:tmpl w:val="A4D85E22"/>
    <w:lvl w:ilvl="0" w:tplc="BD68F7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DC2348C"/>
    <w:multiLevelType w:val="hybridMultilevel"/>
    <w:tmpl w:val="49C8D478"/>
    <w:lvl w:ilvl="0" w:tplc="BD68F7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06D719D"/>
    <w:multiLevelType w:val="multilevel"/>
    <w:tmpl w:val="D98C56B0"/>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2F6F35"/>
    <w:multiLevelType w:val="multilevel"/>
    <w:tmpl w:val="DA5455A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99716F"/>
    <w:multiLevelType w:val="hybridMultilevel"/>
    <w:tmpl w:val="1912164E"/>
    <w:lvl w:ilvl="0" w:tplc="63067414">
      <w:start w:val="2"/>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9" w15:restartNumberingAfterBreak="0">
    <w:nsid w:val="6D470A73"/>
    <w:multiLevelType w:val="hybridMultilevel"/>
    <w:tmpl w:val="F7EA7192"/>
    <w:lvl w:ilvl="0" w:tplc="BD68F7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F377360"/>
    <w:multiLevelType w:val="hybridMultilevel"/>
    <w:tmpl w:val="D596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C29DD"/>
    <w:multiLevelType w:val="hybridMultilevel"/>
    <w:tmpl w:val="68E0CE64"/>
    <w:lvl w:ilvl="0" w:tplc="BD68F7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4610C95"/>
    <w:multiLevelType w:val="hybridMultilevel"/>
    <w:tmpl w:val="AA0ADE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A987984"/>
    <w:multiLevelType w:val="hybridMultilevel"/>
    <w:tmpl w:val="320ECD1C"/>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4" w15:restartNumberingAfterBreak="0">
    <w:nsid w:val="7BCD3C48"/>
    <w:multiLevelType w:val="multilevel"/>
    <w:tmpl w:val="D98C56B0"/>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45824405">
    <w:abstractNumId w:val="37"/>
  </w:num>
  <w:num w:numId="2" w16cid:durableId="1682078683">
    <w:abstractNumId w:val="18"/>
  </w:num>
  <w:num w:numId="3" w16cid:durableId="1270622428">
    <w:abstractNumId w:val="0"/>
  </w:num>
  <w:num w:numId="4" w16cid:durableId="304428661">
    <w:abstractNumId w:val="32"/>
  </w:num>
  <w:num w:numId="5" w16cid:durableId="1526362049">
    <w:abstractNumId w:val="41"/>
  </w:num>
  <w:num w:numId="6" w16cid:durableId="217783433">
    <w:abstractNumId w:val="35"/>
  </w:num>
  <w:num w:numId="7" w16cid:durableId="1508473013">
    <w:abstractNumId w:val="20"/>
  </w:num>
  <w:num w:numId="8" w16cid:durableId="722750963">
    <w:abstractNumId w:val="2"/>
  </w:num>
  <w:num w:numId="9" w16cid:durableId="102500360">
    <w:abstractNumId w:val="34"/>
  </w:num>
  <w:num w:numId="10" w16cid:durableId="1146125160">
    <w:abstractNumId w:val="16"/>
  </w:num>
  <w:num w:numId="11" w16cid:durableId="1601525833">
    <w:abstractNumId w:val="6"/>
  </w:num>
  <w:num w:numId="12" w16cid:durableId="595137585">
    <w:abstractNumId w:val="39"/>
  </w:num>
  <w:num w:numId="13" w16cid:durableId="1125346384">
    <w:abstractNumId w:val="5"/>
  </w:num>
  <w:num w:numId="14" w16cid:durableId="159584359">
    <w:abstractNumId w:val="10"/>
  </w:num>
  <w:num w:numId="15" w16cid:durableId="359359461">
    <w:abstractNumId w:val="7"/>
  </w:num>
  <w:num w:numId="16" w16cid:durableId="1841121028">
    <w:abstractNumId w:val="14"/>
  </w:num>
  <w:num w:numId="17" w16cid:durableId="116412829">
    <w:abstractNumId w:val="9"/>
  </w:num>
  <w:num w:numId="18" w16cid:durableId="162285836">
    <w:abstractNumId w:val="13"/>
  </w:num>
  <w:num w:numId="19" w16cid:durableId="1134828802">
    <w:abstractNumId w:val="21"/>
  </w:num>
  <w:num w:numId="20" w16cid:durableId="1433622393">
    <w:abstractNumId w:val="17"/>
  </w:num>
  <w:num w:numId="21" w16cid:durableId="731579705">
    <w:abstractNumId w:val="28"/>
  </w:num>
  <w:num w:numId="22" w16cid:durableId="80685113">
    <w:abstractNumId w:val="27"/>
  </w:num>
  <w:num w:numId="23" w16cid:durableId="1581911255">
    <w:abstractNumId w:val="26"/>
  </w:num>
  <w:num w:numId="24" w16cid:durableId="1991471856">
    <w:abstractNumId w:val="19"/>
  </w:num>
  <w:num w:numId="25" w16cid:durableId="224491024">
    <w:abstractNumId w:val="25"/>
  </w:num>
  <w:num w:numId="26" w16cid:durableId="1223758042">
    <w:abstractNumId w:val="24"/>
  </w:num>
  <w:num w:numId="27" w16cid:durableId="1548562070">
    <w:abstractNumId w:val="38"/>
  </w:num>
  <w:num w:numId="28" w16cid:durableId="2058816744">
    <w:abstractNumId w:val="33"/>
  </w:num>
  <w:num w:numId="29" w16cid:durableId="93135850">
    <w:abstractNumId w:val="44"/>
  </w:num>
  <w:num w:numId="30" w16cid:durableId="226841901">
    <w:abstractNumId w:val="36"/>
  </w:num>
  <w:num w:numId="31" w16cid:durableId="671378923">
    <w:abstractNumId w:val="15"/>
  </w:num>
  <w:num w:numId="32" w16cid:durableId="1873150035">
    <w:abstractNumId w:val="12"/>
  </w:num>
  <w:num w:numId="33" w16cid:durableId="2085906096">
    <w:abstractNumId w:val="22"/>
  </w:num>
  <w:num w:numId="34" w16cid:durableId="2007978181">
    <w:abstractNumId w:val="29"/>
  </w:num>
  <w:num w:numId="35" w16cid:durableId="467014392">
    <w:abstractNumId w:val="4"/>
  </w:num>
  <w:num w:numId="36" w16cid:durableId="2114745099">
    <w:abstractNumId w:val="23"/>
  </w:num>
  <w:num w:numId="37" w16cid:durableId="1774787431">
    <w:abstractNumId w:val="30"/>
  </w:num>
  <w:num w:numId="38" w16cid:durableId="1972589799">
    <w:abstractNumId w:val="43"/>
  </w:num>
  <w:num w:numId="39" w16cid:durableId="838807547">
    <w:abstractNumId w:val="42"/>
  </w:num>
  <w:num w:numId="40" w16cid:durableId="565453345">
    <w:abstractNumId w:val="3"/>
  </w:num>
  <w:num w:numId="41" w16cid:durableId="2060811860">
    <w:abstractNumId w:val="11"/>
  </w:num>
  <w:num w:numId="42" w16cid:durableId="1850870246">
    <w:abstractNumId w:val="40"/>
  </w:num>
  <w:num w:numId="43" w16cid:durableId="1767846546">
    <w:abstractNumId w:val="31"/>
  </w:num>
  <w:num w:numId="44" w16cid:durableId="1575235210">
    <w:abstractNumId w:val="8"/>
  </w:num>
  <w:num w:numId="45" w16cid:durableId="2047213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Qj2l7lrLyH/watqZDk1FJ2rwzvWymDVY+HbXwf1VRECCbuZptWgC9j6ykuTE68/dGU0NDAbtJ+7b/cuUGxvbsA==" w:salt="oUyV02xA4Pi70KfKXzdDO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EA"/>
    <w:rsid w:val="000077F5"/>
    <w:rsid w:val="00007EE9"/>
    <w:rsid w:val="00036ABD"/>
    <w:rsid w:val="000401BC"/>
    <w:rsid w:val="000403C3"/>
    <w:rsid w:val="00046FE2"/>
    <w:rsid w:val="000513C5"/>
    <w:rsid w:val="000522D5"/>
    <w:rsid w:val="00074EBD"/>
    <w:rsid w:val="00081CD0"/>
    <w:rsid w:val="00091844"/>
    <w:rsid w:val="000A6F54"/>
    <w:rsid w:val="000C1F59"/>
    <w:rsid w:val="000C3404"/>
    <w:rsid w:val="000D76D6"/>
    <w:rsid w:val="000E5927"/>
    <w:rsid w:val="000E7D19"/>
    <w:rsid w:val="000F68E6"/>
    <w:rsid w:val="0010143C"/>
    <w:rsid w:val="00136593"/>
    <w:rsid w:val="00163DF2"/>
    <w:rsid w:val="00177611"/>
    <w:rsid w:val="00180706"/>
    <w:rsid w:val="001831FF"/>
    <w:rsid w:val="001838AE"/>
    <w:rsid w:val="001B61E3"/>
    <w:rsid w:val="001D66F1"/>
    <w:rsid w:val="001E22F8"/>
    <w:rsid w:val="001E2A0C"/>
    <w:rsid w:val="001E2B33"/>
    <w:rsid w:val="001E3EB9"/>
    <w:rsid w:val="001E68D7"/>
    <w:rsid w:val="001F2078"/>
    <w:rsid w:val="001F2F5A"/>
    <w:rsid w:val="0020000E"/>
    <w:rsid w:val="00202F78"/>
    <w:rsid w:val="00205ED2"/>
    <w:rsid w:val="0022198D"/>
    <w:rsid w:val="0023194A"/>
    <w:rsid w:val="002326D8"/>
    <w:rsid w:val="00244F83"/>
    <w:rsid w:val="002549A7"/>
    <w:rsid w:val="00254A23"/>
    <w:rsid w:val="00260666"/>
    <w:rsid w:val="00264047"/>
    <w:rsid w:val="002653BB"/>
    <w:rsid w:val="002714A1"/>
    <w:rsid w:val="00273E7D"/>
    <w:rsid w:val="00275BD7"/>
    <w:rsid w:val="00276EBF"/>
    <w:rsid w:val="00282E10"/>
    <w:rsid w:val="00287F56"/>
    <w:rsid w:val="00291063"/>
    <w:rsid w:val="002970D7"/>
    <w:rsid w:val="002A0791"/>
    <w:rsid w:val="002A1338"/>
    <w:rsid w:val="002B0B95"/>
    <w:rsid w:val="002B1E18"/>
    <w:rsid w:val="002B540E"/>
    <w:rsid w:val="002D29AD"/>
    <w:rsid w:val="002E2473"/>
    <w:rsid w:val="002E247A"/>
    <w:rsid w:val="002F3460"/>
    <w:rsid w:val="002F5B97"/>
    <w:rsid w:val="003010B6"/>
    <w:rsid w:val="00302197"/>
    <w:rsid w:val="00305A56"/>
    <w:rsid w:val="00311524"/>
    <w:rsid w:val="003445E8"/>
    <w:rsid w:val="00362172"/>
    <w:rsid w:val="00363257"/>
    <w:rsid w:val="00363413"/>
    <w:rsid w:val="003661AD"/>
    <w:rsid w:val="003A068F"/>
    <w:rsid w:val="003A1637"/>
    <w:rsid w:val="003A51A5"/>
    <w:rsid w:val="003B6C75"/>
    <w:rsid w:val="003C26F0"/>
    <w:rsid w:val="003C5F2E"/>
    <w:rsid w:val="003D7AA4"/>
    <w:rsid w:val="0040139A"/>
    <w:rsid w:val="0040290C"/>
    <w:rsid w:val="00404024"/>
    <w:rsid w:val="00405C82"/>
    <w:rsid w:val="00414223"/>
    <w:rsid w:val="0041650F"/>
    <w:rsid w:val="00420FC7"/>
    <w:rsid w:val="00425386"/>
    <w:rsid w:val="00431341"/>
    <w:rsid w:val="0043229B"/>
    <w:rsid w:val="00433A69"/>
    <w:rsid w:val="0044172E"/>
    <w:rsid w:val="00460321"/>
    <w:rsid w:val="00461E10"/>
    <w:rsid w:val="00463088"/>
    <w:rsid w:val="00464085"/>
    <w:rsid w:val="00483B07"/>
    <w:rsid w:val="00493770"/>
    <w:rsid w:val="00497DEB"/>
    <w:rsid w:val="004B2B21"/>
    <w:rsid w:val="004B47E6"/>
    <w:rsid w:val="004C5A5D"/>
    <w:rsid w:val="004C6A73"/>
    <w:rsid w:val="004F0A27"/>
    <w:rsid w:val="004F0FF9"/>
    <w:rsid w:val="00514BDE"/>
    <w:rsid w:val="0052398F"/>
    <w:rsid w:val="00533455"/>
    <w:rsid w:val="005451B0"/>
    <w:rsid w:val="005473DE"/>
    <w:rsid w:val="00563A6F"/>
    <w:rsid w:val="00566A53"/>
    <w:rsid w:val="005816F2"/>
    <w:rsid w:val="00587EF4"/>
    <w:rsid w:val="005A2CA7"/>
    <w:rsid w:val="005A384E"/>
    <w:rsid w:val="005B3192"/>
    <w:rsid w:val="005B5496"/>
    <w:rsid w:val="005E1292"/>
    <w:rsid w:val="005E5A07"/>
    <w:rsid w:val="005E5DCA"/>
    <w:rsid w:val="00601683"/>
    <w:rsid w:val="006028B3"/>
    <w:rsid w:val="0061388A"/>
    <w:rsid w:val="00620279"/>
    <w:rsid w:val="00621A3C"/>
    <w:rsid w:val="0064131C"/>
    <w:rsid w:val="00670AB7"/>
    <w:rsid w:val="0067235F"/>
    <w:rsid w:val="00675FA2"/>
    <w:rsid w:val="006A1469"/>
    <w:rsid w:val="006C1206"/>
    <w:rsid w:val="006C3468"/>
    <w:rsid w:val="006D11B3"/>
    <w:rsid w:val="006D1EC6"/>
    <w:rsid w:val="006D28EB"/>
    <w:rsid w:val="006E5884"/>
    <w:rsid w:val="006F7848"/>
    <w:rsid w:val="00700417"/>
    <w:rsid w:val="00703C87"/>
    <w:rsid w:val="00704FAD"/>
    <w:rsid w:val="007058D1"/>
    <w:rsid w:val="00713546"/>
    <w:rsid w:val="00717836"/>
    <w:rsid w:val="00727E28"/>
    <w:rsid w:val="00731D8A"/>
    <w:rsid w:val="007337E4"/>
    <w:rsid w:val="00743011"/>
    <w:rsid w:val="007430B6"/>
    <w:rsid w:val="00750080"/>
    <w:rsid w:val="00752DE5"/>
    <w:rsid w:val="00764A83"/>
    <w:rsid w:val="007744F9"/>
    <w:rsid w:val="00777604"/>
    <w:rsid w:val="00780642"/>
    <w:rsid w:val="00780AD3"/>
    <w:rsid w:val="00787FB9"/>
    <w:rsid w:val="00797918"/>
    <w:rsid w:val="007A1904"/>
    <w:rsid w:val="007A6F5E"/>
    <w:rsid w:val="007B15D2"/>
    <w:rsid w:val="007B358D"/>
    <w:rsid w:val="007C3EE9"/>
    <w:rsid w:val="007C6A46"/>
    <w:rsid w:val="007D5406"/>
    <w:rsid w:val="007E51D2"/>
    <w:rsid w:val="007F417A"/>
    <w:rsid w:val="008002E3"/>
    <w:rsid w:val="0081305E"/>
    <w:rsid w:val="008140B4"/>
    <w:rsid w:val="00836029"/>
    <w:rsid w:val="00836BE5"/>
    <w:rsid w:val="00850342"/>
    <w:rsid w:val="00862414"/>
    <w:rsid w:val="00864B47"/>
    <w:rsid w:val="00864D52"/>
    <w:rsid w:val="00873F9A"/>
    <w:rsid w:val="00874B40"/>
    <w:rsid w:val="00880512"/>
    <w:rsid w:val="00891D13"/>
    <w:rsid w:val="008950A0"/>
    <w:rsid w:val="008A1A56"/>
    <w:rsid w:val="008B714B"/>
    <w:rsid w:val="008C4FBC"/>
    <w:rsid w:val="008D10E9"/>
    <w:rsid w:val="008D2508"/>
    <w:rsid w:val="008D52AD"/>
    <w:rsid w:val="008E0F2E"/>
    <w:rsid w:val="008F047E"/>
    <w:rsid w:val="008F50DD"/>
    <w:rsid w:val="00917AE2"/>
    <w:rsid w:val="0092031F"/>
    <w:rsid w:val="0093117C"/>
    <w:rsid w:val="0094021B"/>
    <w:rsid w:val="0094578A"/>
    <w:rsid w:val="00954692"/>
    <w:rsid w:val="00963F23"/>
    <w:rsid w:val="0096509C"/>
    <w:rsid w:val="009707B4"/>
    <w:rsid w:val="00972AEA"/>
    <w:rsid w:val="00974AB9"/>
    <w:rsid w:val="00995E12"/>
    <w:rsid w:val="009A0B80"/>
    <w:rsid w:val="009A44AD"/>
    <w:rsid w:val="009A4F5E"/>
    <w:rsid w:val="009B1040"/>
    <w:rsid w:val="009B4AAC"/>
    <w:rsid w:val="009C5433"/>
    <w:rsid w:val="009C5A24"/>
    <w:rsid w:val="009D0737"/>
    <w:rsid w:val="009E4F10"/>
    <w:rsid w:val="009E5C62"/>
    <w:rsid w:val="009F6B92"/>
    <w:rsid w:val="00A051E7"/>
    <w:rsid w:val="00A21070"/>
    <w:rsid w:val="00A602CE"/>
    <w:rsid w:val="00A61807"/>
    <w:rsid w:val="00A70607"/>
    <w:rsid w:val="00A71CFA"/>
    <w:rsid w:val="00A730C7"/>
    <w:rsid w:val="00A76173"/>
    <w:rsid w:val="00A77C63"/>
    <w:rsid w:val="00A815AA"/>
    <w:rsid w:val="00A974B6"/>
    <w:rsid w:val="00AA2C82"/>
    <w:rsid w:val="00AA54EB"/>
    <w:rsid w:val="00AB0BED"/>
    <w:rsid w:val="00AC2EC7"/>
    <w:rsid w:val="00AD03CC"/>
    <w:rsid w:val="00AF0050"/>
    <w:rsid w:val="00AF4783"/>
    <w:rsid w:val="00AF51EA"/>
    <w:rsid w:val="00B063A2"/>
    <w:rsid w:val="00B11B40"/>
    <w:rsid w:val="00B2034E"/>
    <w:rsid w:val="00B35516"/>
    <w:rsid w:val="00B42F71"/>
    <w:rsid w:val="00B517E2"/>
    <w:rsid w:val="00B76A10"/>
    <w:rsid w:val="00B8124C"/>
    <w:rsid w:val="00B82234"/>
    <w:rsid w:val="00B85DCF"/>
    <w:rsid w:val="00B9116D"/>
    <w:rsid w:val="00B956D7"/>
    <w:rsid w:val="00B96279"/>
    <w:rsid w:val="00BA5BD0"/>
    <w:rsid w:val="00BA7B66"/>
    <w:rsid w:val="00BB510E"/>
    <w:rsid w:val="00BB6F3D"/>
    <w:rsid w:val="00BC727F"/>
    <w:rsid w:val="00BD59A8"/>
    <w:rsid w:val="00BE1D99"/>
    <w:rsid w:val="00BE50EC"/>
    <w:rsid w:val="00C1003B"/>
    <w:rsid w:val="00C1070A"/>
    <w:rsid w:val="00C15AA7"/>
    <w:rsid w:val="00C25E5C"/>
    <w:rsid w:val="00C43CF8"/>
    <w:rsid w:val="00C44E19"/>
    <w:rsid w:val="00C503C7"/>
    <w:rsid w:val="00C55CE3"/>
    <w:rsid w:val="00C62223"/>
    <w:rsid w:val="00C65A19"/>
    <w:rsid w:val="00C72842"/>
    <w:rsid w:val="00C77EA0"/>
    <w:rsid w:val="00C8335F"/>
    <w:rsid w:val="00C90133"/>
    <w:rsid w:val="00C9033F"/>
    <w:rsid w:val="00CA6AC0"/>
    <w:rsid w:val="00CA7DA7"/>
    <w:rsid w:val="00CB3D7B"/>
    <w:rsid w:val="00CB5F03"/>
    <w:rsid w:val="00CC309A"/>
    <w:rsid w:val="00CE084F"/>
    <w:rsid w:val="00CE57A1"/>
    <w:rsid w:val="00CE6396"/>
    <w:rsid w:val="00D04DC7"/>
    <w:rsid w:val="00D06940"/>
    <w:rsid w:val="00D1024F"/>
    <w:rsid w:val="00D10F72"/>
    <w:rsid w:val="00D145D9"/>
    <w:rsid w:val="00D161F9"/>
    <w:rsid w:val="00D33250"/>
    <w:rsid w:val="00D46E72"/>
    <w:rsid w:val="00D762C5"/>
    <w:rsid w:val="00D77C97"/>
    <w:rsid w:val="00D83D36"/>
    <w:rsid w:val="00D8437F"/>
    <w:rsid w:val="00D905A8"/>
    <w:rsid w:val="00D919A7"/>
    <w:rsid w:val="00D9237E"/>
    <w:rsid w:val="00D955EA"/>
    <w:rsid w:val="00DA1A0D"/>
    <w:rsid w:val="00DB28EA"/>
    <w:rsid w:val="00DB69ED"/>
    <w:rsid w:val="00DC7E84"/>
    <w:rsid w:val="00DD209F"/>
    <w:rsid w:val="00DE4E91"/>
    <w:rsid w:val="00DF01F0"/>
    <w:rsid w:val="00DF361C"/>
    <w:rsid w:val="00DF7832"/>
    <w:rsid w:val="00E03F9B"/>
    <w:rsid w:val="00E16AA3"/>
    <w:rsid w:val="00E33B36"/>
    <w:rsid w:val="00E371CE"/>
    <w:rsid w:val="00E44550"/>
    <w:rsid w:val="00E7298D"/>
    <w:rsid w:val="00EB4712"/>
    <w:rsid w:val="00EB66FB"/>
    <w:rsid w:val="00ED18A9"/>
    <w:rsid w:val="00F23D4C"/>
    <w:rsid w:val="00F319EB"/>
    <w:rsid w:val="00F33D4C"/>
    <w:rsid w:val="00F34404"/>
    <w:rsid w:val="00F35B86"/>
    <w:rsid w:val="00F37079"/>
    <w:rsid w:val="00F45124"/>
    <w:rsid w:val="00F535B0"/>
    <w:rsid w:val="00F559CF"/>
    <w:rsid w:val="00F65D35"/>
    <w:rsid w:val="00F67718"/>
    <w:rsid w:val="00F91697"/>
    <w:rsid w:val="00F97627"/>
    <w:rsid w:val="00FA27B7"/>
    <w:rsid w:val="00FA5AE5"/>
    <w:rsid w:val="00FC38CA"/>
    <w:rsid w:val="00FD0CC4"/>
    <w:rsid w:val="00FD290F"/>
    <w:rsid w:val="00FD5523"/>
    <w:rsid w:val="00FD7918"/>
    <w:rsid w:val="00FF0D09"/>
    <w:rsid w:val="00FF1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0D1FB"/>
  <w15:docId w15:val="{DB0D1371-1200-46D6-A906-69C47959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5EA"/>
    <w:rPr>
      <w:rFonts w:ascii="Arial" w:hAnsi="Arial"/>
    </w:rPr>
  </w:style>
  <w:style w:type="paragraph" w:styleId="Heading1">
    <w:name w:val="heading 1"/>
    <w:basedOn w:val="Normal"/>
    <w:next w:val="Normal"/>
    <w:link w:val="Heading1Char"/>
    <w:uiPriority w:val="9"/>
    <w:qFormat/>
    <w:rsid w:val="00D955EA"/>
    <w:pPr>
      <w:keepNext/>
      <w:keepLines/>
      <w:spacing w:before="240" w:after="0"/>
      <w:outlineLvl w:val="0"/>
    </w:pPr>
    <w:rPr>
      <w:rFonts w:eastAsiaTheme="majorEastAsia" w:cstheme="majorBidi"/>
      <w:b/>
      <w:szCs w:val="32"/>
      <w:u w:val="single"/>
    </w:rPr>
  </w:style>
  <w:style w:type="paragraph" w:styleId="Heading2">
    <w:name w:val="heading 2"/>
    <w:basedOn w:val="Normal"/>
    <w:next w:val="Normal"/>
    <w:link w:val="Heading2Char"/>
    <w:uiPriority w:val="9"/>
    <w:unhideWhenUsed/>
    <w:qFormat/>
    <w:rsid w:val="00D955EA"/>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B51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5EA"/>
    <w:rPr>
      <w:rFonts w:ascii="Arial" w:eastAsiaTheme="majorEastAsia" w:hAnsi="Arial" w:cstheme="majorBidi"/>
      <w:b/>
      <w:szCs w:val="32"/>
      <w:u w:val="single"/>
    </w:rPr>
  </w:style>
  <w:style w:type="character" w:customStyle="1" w:styleId="Heading2Char">
    <w:name w:val="Heading 2 Char"/>
    <w:basedOn w:val="DefaultParagraphFont"/>
    <w:link w:val="Heading2"/>
    <w:uiPriority w:val="9"/>
    <w:rsid w:val="00D955EA"/>
    <w:rPr>
      <w:rFonts w:ascii="Arial" w:eastAsiaTheme="majorEastAsia" w:hAnsi="Arial" w:cstheme="majorBidi"/>
      <w:b/>
      <w:szCs w:val="26"/>
    </w:rPr>
  </w:style>
  <w:style w:type="paragraph" w:styleId="ListParagraph">
    <w:name w:val="List Paragraph"/>
    <w:basedOn w:val="Normal"/>
    <w:uiPriority w:val="34"/>
    <w:qFormat/>
    <w:rsid w:val="00D955EA"/>
    <w:pPr>
      <w:ind w:left="720"/>
      <w:contextualSpacing/>
    </w:pPr>
  </w:style>
  <w:style w:type="character" w:styleId="CommentReference">
    <w:name w:val="annotation reference"/>
    <w:basedOn w:val="DefaultParagraphFont"/>
    <w:uiPriority w:val="99"/>
    <w:semiHidden/>
    <w:unhideWhenUsed/>
    <w:rsid w:val="00D955EA"/>
    <w:rPr>
      <w:sz w:val="16"/>
      <w:szCs w:val="16"/>
    </w:rPr>
  </w:style>
  <w:style w:type="paragraph" w:styleId="CommentText">
    <w:name w:val="annotation text"/>
    <w:basedOn w:val="Normal"/>
    <w:link w:val="CommentTextChar"/>
    <w:uiPriority w:val="99"/>
    <w:unhideWhenUsed/>
    <w:rsid w:val="00D955EA"/>
    <w:pPr>
      <w:spacing w:line="240" w:lineRule="auto"/>
    </w:pPr>
    <w:rPr>
      <w:sz w:val="20"/>
      <w:szCs w:val="20"/>
    </w:rPr>
  </w:style>
  <w:style w:type="character" w:customStyle="1" w:styleId="CommentTextChar">
    <w:name w:val="Comment Text Char"/>
    <w:basedOn w:val="DefaultParagraphFont"/>
    <w:link w:val="CommentText"/>
    <w:uiPriority w:val="99"/>
    <w:rsid w:val="00D955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5EA"/>
    <w:rPr>
      <w:b/>
      <w:bCs/>
    </w:rPr>
  </w:style>
  <w:style w:type="character" w:customStyle="1" w:styleId="CommentSubjectChar">
    <w:name w:val="Comment Subject Char"/>
    <w:basedOn w:val="CommentTextChar"/>
    <w:link w:val="CommentSubject"/>
    <w:uiPriority w:val="99"/>
    <w:semiHidden/>
    <w:rsid w:val="00D955EA"/>
    <w:rPr>
      <w:rFonts w:ascii="Arial" w:hAnsi="Arial"/>
      <w:b/>
      <w:bCs/>
      <w:sz w:val="20"/>
      <w:szCs w:val="20"/>
    </w:rPr>
  </w:style>
  <w:style w:type="paragraph" w:styleId="BalloonText">
    <w:name w:val="Balloon Text"/>
    <w:basedOn w:val="Normal"/>
    <w:link w:val="BalloonTextChar"/>
    <w:uiPriority w:val="99"/>
    <w:semiHidden/>
    <w:unhideWhenUsed/>
    <w:rsid w:val="00D95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5EA"/>
    <w:rPr>
      <w:rFonts w:ascii="Segoe UI" w:hAnsi="Segoe UI" w:cs="Segoe UI"/>
      <w:sz w:val="18"/>
      <w:szCs w:val="18"/>
    </w:rPr>
  </w:style>
  <w:style w:type="paragraph" w:customStyle="1" w:styleId="TableParagraph">
    <w:name w:val="Table Paragraph"/>
    <w:basedOn w:val="Normal"/>
    <w:uiPriority w:val="1"/>
    <w:qFormat/>
    <w:rsid w:val="00D955EA"/>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FootnoteText">
    <w:name w:val="footnote text"/>
    <w:basedOn w:val="Normal"/>
    <w:link w:val="FootnoteTextChar"/>
    <w:uiPriority w:val="99"/>
    <w:unhideWhenUsed/>
    <w:rsid w:val="00D955E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D955EA"/>
    <w:rPr>
      <w:sz w:val="20"/>
      <w:szCs w:val="20"/>
    </w:rPr>
  </w:style>
  <w:style w:type="character" w:styleId="FootnoteReference">
    <w:name w:val="footnote reference"/>
    <w:basedOn w:val="DefaultParagraphFont"/>
    <w:uiPriority w:val="99"/>
    <w:unhideWhenUsed/>
    <w:rsid w:val="00D955EA"/>
    <w:rPr>
      <w:vertAlign w:val="superscript"/>
    </w:rPr>
  </w:style>
  <w:style w:type="paragraph" w:styleId="Header">
    <w:name w:val="header"/>
    <w:basedOn w:val="Normal"/>
    <w:link w:val="HeaderChar"/>
    <w:uiPriority w:val="99"/>
    <w:unhideWhenUsed/>
    <w:rsid w:val="00D95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5EA"/>
    <w:rPr>
      <w:rFonts w:ascii="Arial" w:hAnsi="Arial"/>
    </w:rPr>
  </w:style>
  <w:style w:type="paragraph" w:styleId="Footer">
    <w:name w:val="footer"/>
    <w:basedOn w:val="Normal"/>
    <w:link w:val="FooterChar"/>
    <w:uiPriority w:val="99"/>
    <w:unhideWhenUsed/>
    <w:rsid w:val="00D95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5EA"/>
    <w:rPr>
      <w:rFonts w:ascii="Arial" w:hAnsi="Arial"/>
    </w:rPr>
  </w:style>
  <w:style w:type="table" w:styleId="TableGrid">
    <w:name w:val="Table Grid"/>
    <w:basedOn w:val="TableNormal"/>
    <w:uiPriority w:val="39"/>
    <w:rsid w:val="00D9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55EA"/>
    <w:pPr>
      <w:spacing w:after="0" w:line="240" w:lineRule="auto"/>
    </w:pPr>
    <w:rPr>
      <w:rFonts w:ascii="Arial" w:hAnsi="Arial"/>
    </w:rPr>
  </w:style>
  <w:style w:type="table" w:styleId="GridTable5Dark-Accent2">
    <w:name w:val="Grid Table 5 Dark Accent 2"/>
    <w:basedOn w:val="TableNormal"/>
    <w:uiPriority w:val="50"/>
    <w:rsid w:val="00D955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1">
    <w:name w:val="Grid Table 4 Accent 1"/>
    <w:basedOn w:val="TableNormal"/>
    <w:uiPriority w:val="49"/>
    <w:rsid w:val="00D955E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
    <w:name w:val="Grid Table 1 Light"/>
    <w:basedOn w:val="TableNormal"/>
    <w:uiPriority w:val="46"/>
    <w:rsid w:val="006D28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BB510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B42F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119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8FAAEF229E04F8F8D6A770F5E2BB5" ma:contentTypeVersion="8" ma:contentTypeDescription="Create a new document." ma:contentTypeScope="" ma:versionID="0be2ee16b85df5dd01423825b51a3840">
  <xsd:schema xmlns:xsd="http://www.w3.org/2001/XMLSchema" xmlns:xs="http://www.w3.org/2001/XMLSchema" xmlns:p="http://schemas.microsoft.com/office/2006/metadata/properties" xmlns:ns2="6af4ef65-d9db-4232-b2f4-220a3c676e18" xmlns:ns3="6b63969f-7f2b-4f20-a4ef-0105de9e3a9d" targetNamespace="http://schemas.microsoft.com/office/2006/metadata/properties" ma:root="true" ma:fieldsID="0a198fd19abee628228b9a09d3ef0315" ns2:_="" ns3:_="">
    <xsd:import namespace="6af4ef65-d9db-4232-b2f4-220a3c676e18"/>
    <xsd:import namespace="6b63969f-7f2b-4f20-a4ef-0105de9e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4ef65-d9db-4232-b2f4-220a3c676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63969f-7f2b-4f20-a4ef-0105de9e3a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3B987-2E8D-4EE0-90A5-341C72283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4ef65-d9db-4232-b2f4-220a3c676e18"/>
    <ds:schemaRef ds:uri="6b63969f-7f2b-4f20-a4ef-0105de9e3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8ACA8-6B0A-419B-B1D3-28646B1D673A}">
  <ds:schemaRefs>
    <ds:schemaRef ds:uri="http://schemas.microsoft.com/sharepoint/v3/contenttype/forms"/>
  </ds:schemaRefs>
</ds:datastoreItem>
</file>

<file path=customXml/itemProps3.xml><?xml version="1.0" encoding="utf-8"?>
<ds:datastoreItem xmlns:ds="http://schemas.openxmlformats.org/officeDocument/2006/customXml" ds:itemID="{D42806B9-2BF3-43A5-82D2-D777359F44CB}">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6b63969f-7f2b-4f20-a4ef-0105de9e3a9d"/>
    <ds:schemaRef ds:uri="6af4ef65-d9db-4232-b2f4-220a3c676e18"/>
    <ds:schemaRef ds:uri="http://www.w3.org/XML/1998/namespace"/>
  </ds:schemaRefs>
</ds:datastoreItem>
</file>

<file path=customXml/itemProps4.xml><?xml version="1.0" encoding="utf-8"?>
<ds:datastoreItem xmlns:ds="http://schemas.openxmlformats.org/officeDocument/2006/customXml" ds:itemID="{FC99D3C2-2008-4928-93F0-5611B631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3483</Words>
  <Characters>19858</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Storey, Jayne</dc:creator>
  <cp:keywords/>
  <dc:description/>
  <cp:lastModifiedBy>Steele, Esther</cp:lastModifiedBy>
  <cp:revision>3</cp:revision>
  <dcterms:created xsi:type="dcterms:W3CDTF">2024-08-01T13:24:00Z</dcterms:created>
  <dcterms:modified xsi:type="dcterms:W3CDTF">2024-08-01T13:37:00Z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0x010100BFE8FAAEF229E04F8F8D6A770F5E2BB5</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