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1EAD9FA1" w:rsidR="00B75892" w:rsidRDefault="00B64E2E" w:rsidP="0009597B">
      <w:pPr>
        <w:pStyle w:val="Title"/>
        <w:jc w:val="center"/>
      </w:pPr>
      <w:r>
        <w:t>Treasury Management Policy</w:t>
      </w:r>
    </w:p>
    <w:p w14:paraId="4EE2EE4E" w14:textId="06CC482B" w:rsidR="00E62C64" w:rsidRPr="00E62C64" w:rsidRDefault="00E62C64" w:rsidP="00B64E2E">
      <w:pPr>
        <w:pStyle w:val="Heading1"/>
        <w:numPr>
          <w:ilvl w:val="0"/>
          <w:numId w:val="0"/>
        </w:numPr>
        <w:ind w:left="431" w:hanging="431"/>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B041E4D" w:rsidR="005D0B18" w:rsidRPr="00D9301C" w:rsidRDefault="00B3222D" w:rsidP="00E62C64">
            <w:pPr>
              <w:rPr>
                <w:rStyle w:val="SubtleEmphasis"/>
              </w:rPr>
            </w:pPr>
            <w:r>
              <w:rPr>
                <w:rStyle w:val="SubtleEmphasis"/>
              </w:rPr>
              <w:t>Treasury Management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3F917D08" w:rsidR="00424E11" w:rsidRPr="00D9301C" w:rsidRDefault="00B3222D" w:rsidP="00E62C64">
            <w:pPr>
              <w:rPr>
                <w:rStyle w:val="SubtleEmphasis"/>
              </w:rPr>
            </w:pPr>
            <w:r>
              <w:rPr>
                <w:rStyle w:val="SubtleEmphasis"/>
              </w:rPr>
              <w:t>16 March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58157454" w:rsidR="00424E11" w:rsidRPr="00D9301C" w:rsidRDefault="00B3222D" w:rsidP="00E62C64">
            <w:pPr>
              <w:rPr>
                <w:rStyle w:val="SubtleEmphasis"/>
              </w:rPr>
            </w:pPr>
            <w:r>
              <w:rPr>
                <w:rStyle w:val="SubtleEmphasis"/>
              </w:rPr>
              <w:t>Resources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5A80F1E8" w:rsidR="00424E11" w:rsidRPr="00D9301C" w:rsidRDefault="00FE2C3C" w:rsidP="00E62C64">
            <w:pPr>
              <w:rPr>
                <w:rStyle w:val="SubtleEmphasis"/>
              </w:rPr>
            </w:pPr>
            <w:r w:rsidRPr="00D9301C">
              <w:rPr>
                <w:rStyle w:val="SubtleEmphasis"/>
              </w:rPr>
              <w:t>Insert current version as below</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B0E3A3A" w:rsidR="00424E11" w:rsidRPr="00D9301C" w:rsidRDefault="00B3222D" w:rsidP="00E62C64">
            <w:pPr>
              <w:rPr>
                <w:rStyle w:val="SubtleEmphasis"/>
              </w:rPr>
            </w:pPr>
            <w:r>
              <w:rPr>
                <w:rStyle w:val="SubtleEmphasis"/>
              </w:rPr>
              <w:t>January 2021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46E9AA6" w:rsidR="00424E11" w:rsidRPr="00D9301C" w:rsidRDefault="00B3222D" w:rsidP="00E62C64">
            <w:pPr>
              <w:rPr>
                <w:rStyle w:val="SubtleEmphasis"/>
              </w:rPr>
            </w:pPr>
            <w:r>
              <w:rPr>
                <w:rStyle w:val="SubtleEmphasis"/>
              </w:rPr>
              <w:t>March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67567EE9" w:rsidR="00424E11" w:rsidRPr="00D9301C" w:rsidRDefault="00B3222D" w:rsidP="00D9301C">
            <w:pPr>
              <w:rPr>
                <w:rStyle w:val="SubtleEmphasis"/>
              </w:rPr>
            </w:pPr>
            <w:r>
              <w:rPr>
                <w:rStyle w:val="SubtleEmphasis"/>
              </w:rPr>
              <w:t>No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2BE5A6A9" w:rsidR="00424E11" w:rsidRPr="00D9301C" w:rsidRDefault="00B3222D" w:rsidP="00E62C64">
            <w:pPr>
              <w:rPr>
                <w:rStyle w:val="SubtleEmphasis"/>
              </w:rPr>
            </w:pPr>
            <w:r>
              <w:rPr>
                <w:rStyle w:val="SubtleEmphasis"/>
              </w:rPr>
              <w:t>Ethical Investment</w:t>
            </w:r>
            <w:r w:rsidR="00C04A7D">
              <w:rPr>
                <w:rStyle w:val="SubtleEmphasis"/>
              </w:rPr>
              <w:t xml:space="preserve"> &amp; Banking Policy, Anti-Bribery Policy, Anti-Money Laundering Policy</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424F4DE7" w:rsidR="00424E11" w:rsidRPr="00D9301C" w:rsidRDefault="00C04A7D" w:rsidP="00E62C64">
            <w:pPr>
              <w:rPr>
                <w:rStyle w:val="SubtleEmphasis"/>
              </w:rPr>
            </w:pPr>
            <w:r>
              <w:rPr>
                <w:rStyle w:val="SubtleEmphasis"/>
              </w:rPr>
              <w:t>1 April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4A22218" w:rsidR="00424E11" w:rsidRPr="00D9301C" w:rsidRDefault="00C04A7D" w:rsidP="00E62C64">
            <w:pPr>
              <w:rPr>
                <w:rStyle w:val="SubtleEmphasis"/>
              </w:rPr>
            </w:pPr>
            <w:r>
              <w:rPr>
                <w:rStyle w:val="SubtleEmphasis"/>
              </w:rPr>
              <w:t>Chief Officer Resources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6DA57581" w:rsidR="00424E11" w:rsidRPr="00D9301C" w:rsidRDefault="00C04A7D"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40EEF122" w:rsidR="00424E11" w:rsidRPr="00D9301C" w:rsidRDefault="00C04A7D" w:rsidP="00E62C64">
            <w:pPr>
              <w:rPr>
                <w:rStyle w:val="SubtleEmphasis"/>
              </w:rPr>
            </w:pPr>
            <w:r>
              <w:rPr>
                <w:rStyle w:val="SubtleEmphasis"/>
              </w:rPr>
              <w:t>hcrotty@cardiffmet.ac.uk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0" w:name="_Toc165364985"/>
      <w:r>
        <w:t>Version Control</w:t>
      </w:r>
      <w:bookmarkEnd w:id="0"/>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1" w:name="_Toc73711327"/>
            <w:bookmarkStart w:id="2" w:name="_Toc73711702"/>
            <w:bookmarkStart w:id="3"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2B43271D" w14:textId="77777777" w:rsidTr="00376449">
        <w:tc>
          <w:tcPr>
            <w:tcW w:w="3005" w:type="dxa"/>
          </w:tcPr>
          <w:p w14:paraId="459358E4" w14:textId="0E91F0B6" w:rsidR="00376449" w:rsidRPr="00CD441C" w:rsidRDefault="00C04A7D" w:rsidP="00376449">
            <w:pPr>
              <w:rPr>
                <w:rStyle w:val="SubtleEmphasis"/>
              </w:rPr>
            </w:pPr>
            <w:r>
              <w:rPr>
                <w:rStyle w:val="SubtleEmphasis"/>
              </w:rPr>
              <w:t>10.0</w:t>
            </w:r>
          </w:p>
        </w:tc>
        <w:tc>
          <w:tcPr>
            <w:tcW w:w="3005" w:type="dxa"/>
          </w:tcPr>
          <w:p w14:paraId="40C609B4" w14:textId="4E2FDC91" w:rsidR="00376449" w:rsidRPr="00CD441C" w:rsidRDefault="00C04A7D" w:rsidP="00376449">
            <w:pPr>
              <w:rPr>
                <w:rStyle w:val="SubtleEmphasis"/>
              </w:rPr>
            </w:pPr>
            <w:r>
              <w:rPr>
                <w:rStyle w:val="SubtleEmphasis"/>
              </w:rPr>
              <w:t>January 2021</w:t>
            </w:r>
          </w:p>
        </w:tc>
        <w:tc>
          <w:tcPr>
            <w:tcW w:w="3006" w:type="dxa"/>
          </w:tcPr>
          <w:p w14:paraId="086F274B" w14:textId="0F2D31D0" w:rsidR="00376449" w:rsidRPr="00CD441C" w:rsidRDefault="00C04A7D" w:rsidP="00376449">
            <w:pPr>
              <w:rPr>
                <w:rStyle w:val="SubtleEmphasis"/>
              </w:rPr>
            </w:pPr>
            <w:r>
              <w:rPr>
                <w:rStyle w:val="SubtleEmphasis"/>
              </w:rPr>
              <w:t>10</w:t>
            </w:r>
            <w:r w:rsidRPr="00C04A7D">
              <w:rPr>
                <w:rStyle w:val="SubtleEmphasis"/>
                <w:vertAlign w:val="superscript"/>
              </w:rPr>
              <w:t>th</w:t>
            </w:r>
            <w:r>
              <w:rPr>
                <w:rStyle w:val="SubtleEmphasis"/>
              </w:rPr>
              <w:t xml:space="preserve"> Version</w:t>
            </w:r>
          </w:p>
        </w:tc>
      </w:tr>
      <w:tr w:rsidR="00CD441C" w14:paraId="3B0166AB" w14:textId="77777777" w:rsidTr="00376449">
        <w:tc>
          <w:tcPr>
            <w:tcW w:w="3005" w:type="dxa"/>
          </w:tcPr>
          <w:p w14:paraId="0733712B" w14:textId="3E3498FE" w:rsidR="00CD441C" w:rsidRDefault="00C04A7D" w:rsidP="00376449">
            <w:pPr>
              <w:rPr>
                <w:rStyle w:val="SubtleEmphasis"/>
              </w:rPr>
            </w:pPr>
            <w:r>
              <w:rPr>
                <w:rStyle w:val="SubtleEmphasis"/>
              </w:rPr>
              <w:t>11.0</w:t>
            </w:r>
          </w:p>
        </w:tc>
        <w:tc>
          <w:tcPr>
            <w:tcW w:w="3005" w:type="dxa"/>
          </w:tcPr>
          <w:p w14:paraId="5B892655" w14:textId="2FF58657" w:rsidR="00CD441C" w:rsidRPr="00CD441C" w:rsidRDefault="00C04A7D" w:rsidP="00376449">
            <w:pPr>
              <w:rPr>
                <w:rStyle w:val="SubtleEmphasis"/>
              </w:rPr>
            </w:pPr>
            <w:r>
              <w:rPr>
                <w:rStyle w:val="SubtleEmphasis"/>
              </w:rPr>
              <w:t>March 2024</w:t>
            </w:r>
          </w:p>
        </w:tc>
        <w:tc>
          <w:tcPr>
            <w:tcW w:w="3006" w:type="dxa"/>
          </w:tcPr>
          <w:p w14:paraId="37906F0F" w14:textId="08C0A231" w:rsidR="00CD441C" w:rsidRPr="00CD441C" w:rsidRDefault="00C04A7D" w:rsidP="00376449">
            <w:pPr>
              <w:rPr>
                <w:rStyle w:val="SubtleEmphasis"/>
              </w:rPr>
            </w:pPr>
            <w:r>
              <w:rPr>
                <w:rStyle w:val="SubtleEmphasis"/>
              </w:rPr>
              <w:t>11</w:t>
            </w:r>
            <w:r w:rsidRPr="00C04A7D">
              <w:rPr>
                <w:rStyle w:val="SubtleEmphasis"/>
                <w:vertAlign w:val="superscript"/>
              </w:rPr>
              <w:t>th</w:t>
            </w:r>
            <w:r>
              <w:rPr>
                <w:rStyle w:val="SubtleEmphasis"/>
              </w:rPr>
              <w:t xml:space="preserve"> Version</w:t>
            </w:r>
          </w:p>
        </w:tc>
      </w:tr>
    </w:tbl>
    <w:p w14:paraId="2FD28679" w14:textId="77777777" w:rsidR="00351D20" w:rsidRDefault="00351D20" w:rsidP="00C04A7D">
      <w:pPr>
        <w:pStyle w:val="Heading1"/>
        <w:numPr>
          <w:ilvl w:val="0"/>
          <w:numId w:val="0"/>
        </w:numPr>
      </w:pPr>
      <w:bookmarkStart w:id="4" w:name="_Toc165364986"/>
      <w:bookmarkEnd w:id="1"/>
      <w:bookmarkEnd w:id="2"/>
      <w:bookmarkEnd w:id="3"/>
      <w:r>
        <w:t>Policy Hub</w:t>
      </w:r>
      <w:bookmarkEnd w:id="4"/>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74A72698" w14:textId="77777777" w:rsidR="00C04A7D"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4B8096C5" w14:textId="4246865E" w:rsidR="00C04A7D" w:rsidRDefault="00C04A7D">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5364985" w:history="1">
            <w:r w:rsidRPr="00E463D0">
              <w:rPr>
                <w:rStyle w:val="Hyperlink"/>
                <w:noProof/>
              </w:rPr>
              <w:t>Version Control</w:t>
            </w:r>
            <w:r>
              <w:rPr>
                <w:noProof/>
                <w:webHidden/>
              </w:rPr>
              <w:tab/>
            </w:r>
            <w:r>
              <w:rPr>
                <w:noProof/>
                <w:webHidden/>
              </w:rPr>
              <w:fldChar w:fldCharType="begin"/>
            </w:r>
            <w:r>
              <w:rPr>
                <w:noProof/>
                <w:webHidden/>
              </w:rPr>
              <w:instrText xml:space="preserve"> PAGEREF _Toc165364985 \h </w:instrText>
            </w:r>
            <w:r>
              <w:rPr>
                <w:noProof/>
                <w:webHidden/>
              </w:rPr>
            </w:r>
            <w:r>
              <w:rPr>
                <w:noProof/>
                <w:webHidden/>
              </w:rPr>
              <w:fldChar w:fldCharType="separate"/>
            </w:r>
            <w:r>
              <w:rPr>
                <w:noProof/>
                <w:webHidden/>
              </w:rPr>
              <w:t>1</w:t>
            </w:r>
            <w:r>
              <w:rPr>
                <w:noProof/>
                <w:webHidden/>
              </w:rPr>
              <w:fldChar w:fldCharType="end"/>
            </w:r>
          </w:hyperlink>
        </w:p>
        <w:p w14:paraId="1F24DFA8" w14:textId="03ACB0B4" w:rsidR="00C04A7D" w:rsidRDefault="00C04A7D">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5364986" w:history="1">
            <w:r w:rsidRPr="00E463D0">
              <w:rPr>
                <w:rStyle w:val="Hyperlink"/>
                <w:noProof/>
              </w:rPr>
              <w:t>Policy Hub</w:t>
            </w:r>
            <w:r>
              <w:rPr>
                <w:noProof/>
                <w:webHidden/>
              </w:rPr>
              <w:tab/>
            </w:r>
            <w:r>
              <w:rPr>
                <w:noProof/>
                <w:webHidden/>
              </w:rPr>
              <w:fldChar w:fldCharType="begin"/>
            </w:r>
            <w:r>
              <w:rPr>
                <w:noProof/>
                <w:webHidden/>
              </w:rPr>
              <w:instrText xml:space="preserve"> PAGEREF _Toc165364986 \h </w:instrText>
            </w:r>
            <w:r>
              <w:rPr>
                <w:noProof/>
                <w:webHidden/>
              </w:rPr>
            </w:r>
            <w:r>
              <w:rPr>
                <w:noProof/>
                <w:webHidden/>
              </w:rPr>
              <w:fldChar w:fldCharType="separate"/>
            </w:r>
            <w:r>
              <w:rPr>
                <w:noProof/>
                <w:webHidden/>
              </w:rPr>
              <w:t>1</w:t>
            </w:r>
            <w:r>
              <w:rPr>
                <w:noProof/>
                <w:webHidden/>
              </w:rPr>
              <w:fldChar w:fldCharType="end"/>
            </w:r>
          </w:hyperlink>
        </w:p>
        <w:p w14:paraId="64A4EC92" w14:textId="07939C11" w:rsidR="00C04A7D" w:rsidRDefault="00C04A7D">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5364987" w:history="1">
            <w:r w:rsidRPr="00E463D0">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E463D0">
              <w:rPr>
                <w:rStyle w:val="Hyperlink"/>
                <w:noProof/>
              </w:rPr>
              <w:t>Policy Statement</w:t>
            </w:r>
            <w:r>
              <w:rPr>
                <w:noProof/>
                <w:webHidden/>
              </w:rPr>
              <w:tab/>
            </w:r>
            <w:r>
              <w:rPr>
                <w:noProof/>
                <w:webHidden/>
              </w:rPr>
              <w:fldChar w:fldCharType="begin"/>
            </w:r>
            <w:r>
              <w:rPr>
                <w:noProof/>
                <w:webHidden/>
              </w:rPr>
              <w:instrText xml:space="preserve"> PAGEREF _Toc165364987 \h </w:instrText>
            </w:r>
            <w:r>
              <w:rPr>
                <w:noProof/>
                <w:webHidden/>
              </w:rPr>
            </w:r>
            <w:r>
              <w:rPr>
                <w:noProof/>
                <w:webHidden/>
              </w:rPr>
              <w:fldChar w:fldCharType="separate"/>
            </w:r>
            <w:r>
              <w:rPr>
                <w:noProof/>
                <w:webHidden/>
              </w:rPr>
              <w:t>3</w:t>
            </w:r>
            <w:r>
              <w:rPr>
                <w:noProof/>
                <w:webHidden/>
              </w:rPr>
              <w:fldChar w:fldCharType="end"/>
            </w:r>
          </w:hyperlink>
        </w:p>
        <w:p w14:paraId="26149440" w14:textId="177F4B67" w:rsidR="00C04A7D" w:rsidRDefault="00C04A7D">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5364988" w:history="1">
            <w:r w:rsidRPr="00E463D0">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E463D0">
              <w:rPr>
                <w:rStyle w:val="Hyperlink"/>
                <w:noProof/>
              </w:rPr>
              <w:t>Risk</w:t>
            </w:r>
            <w:r>
              <w:rPr>
                <w:noProof/>
                <w:webHidden/>
              </w:rPr>
              <w:tab/>
            </w:r>
            <w:r>
              <w:rPr>
                <w:noProof/>
                <w:webHidden/>
              </w:rPr>
              <w:fldChar w:fldCharType="begin"/>
            </w:r>
            <w:r>
              <w:rPr>
                <w:noProof/>
                <w:webHidden/>
              </w:rPr>
              <w:instrText xml:space="preserve"> PAGEREF _Toc165364988 \h </w:instrText>
            </w:r>
            <w:r>
              <w:rPr>
                <w:noProof/>
                <w:webHidden/>
              </w:rPr>
            </w:r>
            <w:r>
              <w:rPr>
                <w:noProof/>
                <w:webHidden/>
              </w:rPr>
              <w:fldChar w:fldCharType="separate"/>
            </w:r>
            <w:r>
              <w:rPr>
                <w:noProof/>
                <w:webHidden/>
              </w:rPr>
              <w:t>3</w:t>
            </w:r>
            <w:r>
              <w:rPr>
                <w:noProof/>
                <w:webHidden/>
              </w:rPr>
              <w:fldChar w:fldCharType="end"/>
            </w:r>
          </w:hyperlink>
        </w:p>
        <w:p w14:paraId="7E8834B6" w14:textId="30FCC0F4" w:rsidR="00C04A7D" w:rsidRDefault="00C04A7D">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5364989" w:history="1">
            <w:r w:rsidRPr="00E463D0">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E463D0">
              <w:rPr>
                <w:rStyle w:val="Hyperlink"/>
                <w:noProof/>
              </w:rPr>
              <w:t>Roles and Responsibilities</w:t>
            </w:r>
            <w:r>
              <w:rPr>
                <w:noProof/>
                <w:webHidden/>
              </w:rPr>
              <w:tab/>
            </w:r>
            <w:r>
              <w:rPr>
                <w:noProof/>
                <w:webHidden/>
              </w:rPr>
              <w:fldChar w:fldCharType="begin"/>
            </w:r>
            <w:r>
              <w:rPr>
                <w:noProof/>
                <w:webHidden/>
              </w:rPr>
              <w:instrText xml:space="preserve"> PAGEREF _Toc165364989 \h </w:instrText>
            </w:r>
            <w:r>
              <w:rPr>
                <w:noProof/>
                <w:webHidden/>
              </w:rPr>
            </w:r>
            <w:r>
              <w:rPr>
                <w:noProof/>
                <w:webHidden/>
              </w:rPr>
              <w:fldChar w:fldCharType="separate"/>
            </w:r>
            <w:r>
              <w:rPr>
                <w:noProof/>
                <w:webHidden/>
              </w:rPr>
              <w:t>4</w:t>
            </w:r>
            <w:r>
              <w:rPr>
                <w:noProof/>
                <w:webHidden/>
              </w:rPr>
              <w:fldChar w:fldCharType="end"/>
            </w:r>
          </w:hyperlink>
        </w:p>
        <w:p w14:paraId="4A5B25AC" w14:textId="7D386C6A" w:rsidR="00C04A7D" w:rsidRDefault="00C04A7D">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5364990" w:history="1">
            <w:r w:rsidRPr="00E463D0">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E463D0">
              <w:rPr>
                <w:rStyle w:val="Hyperlink"/>
                <w:noProof/>
              </w:rPr>
              <w:t>Related Policies and Procedures</w:t>
            </w:r>
            <w:r>
              <w:rPr>
                <w:noProof/>
                <w:webHidden/>
              </w:rPr>
              <w:tab/>
            </w:r>
            <w:r>
              <w:rPr>
                <w:noProof/>
                <w:webHidden/>
              </w:rPr>
              <w:fldChar w:fldCharType="begin"/>
            </w:r>
            <w:r>
              <w:rPr>
                <w:noProof/>
                <w:webHidden/>
              </w:rPr>
              <w:instrText xml:space="preserve"> PAGEREF _Toc165364990 \h </w:instrText>
            </w:r>
            <w:r>
              <w:rPr>
                <w:noProof/>
                <w:webHidden/>
              </w:rPr>
            </w:r>
            <w:r>
              <w:rPr>
                <w:noProof/>
                <w:webHidden/>
              </w:rPr>
              <w:fldChar w:fldCharType="separate"/>
            </w:r>
            <w:r>
              <w:rPr>
                <w:noProof/>
                <w:webHidden/>
              </w:rPr>
              <w:t>4</w:t>
            </w:r>
            <w:r>
              <w:rPr>
                <w:noProof/>
                <w:webHidden/>
              </w:rPr>
              <w:fldChar w:fldCharType="end"/>
            </w:r>
          </w:hyperlink>
        </w:p>
        <w:p w14:paraId="25C1258E" w14:textId="1FB16BB2" w:rsidR="00C04A7D" w:rsidRDefault="00C04A7D">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5364991" w:history="1">
            <w:r w:rsidRPr="00E463D0">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E463D0">
              <w:rPr>
                <w:rStyle w:val="Hyperlink"/>
                <w:noProof/>
              </w:rPr>
              <w:t>Review and Approval</w:t>
            </w:r>
            <w:r>
              <w:rPr>
                <w:noProof/>
                <w:webHidden/>
              </w:rPr>
              <w:tab/>
            </w:r>
            <w:r>
              <w:rPr>
                <w:noProof/>
                <w:webHidden/>
              </w:rPr>
              <w:fldChar w:fldCharType="begin"/>
            </w:r>
            <w:r>
              <w:rPr>
                <w:noProof/>
                <w:webHidden/>
              </w:rPr>
              <w:instrText xml:space="preserve"> PAGEREF _Toc165364991 \h </w:instrText>
            </w:r>
            <w:r>
              <w:rPr>
                <w:noProof/>
                <w:webHidden/>
              </w:rPr>
            </w:r>
            <w:r>
              <w:rPr>
                <w:noProof/>
                <w:webHidden/>
              </w:rPr>
              <w:fldChar w:fldCharType="separate"/>
            </w:r>
            <w:r>
              <w:rPr>
                <w:noProof/>
                <w:webHidden/>
              </w:rPr>
              <w:t>5</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ADDB473" w14:textId="39DC98AE" w:rsidR="00C04A7D" w:rsidRDefault="00C04A7D" w:rsidP="00C04A7D">
      <w:pPr>
        <w:pStyle w:val="Heading1"/>
      </w:pPr>
      <w:bookmarkStart w:id="5" w:name="_Toc160554367"/>
      <w:bookmarkStart w:id="6" w:name="_Toc165364987"/>
      <w:r>
        <w:lastRenderedPageBreak/>
        <w:t>Policy Statement</w:t>
      </w:r>
      <w:bookmarkEnd w:id="5"/>
      <w:bookmarkEnd w:id="6"/>
    </w:p>
    <w:p w14:paraId="46606323" w14:textId="77777777" w:rsidR="00C04A7D" w:rsidRDefault="00C04A7D" w:rsidP="00C04A7D">
      <w:pPr>
        <w:pStyle w:val="Heading2"/>
      </w:pPr>
      <w:r>
        <w:t>Treasury Management is defined as the management of the University’s cash flows,</w:t>
      </w:r>
      <w:r>
        <w:rPr>
          <w:spacing w:val="1"/>
        </w:rPr>
        <w:t xml:space="preserve"> </w:t>
      </w:r>
      <w:r>
        <w:t>investments</w:t>
      </w:r>
      <w:r>
        <w:rPr>
          <w:spacing w:val="-12"/>
        </w:rPr>
        <w:t xml:space="preserve"> </w:t>
      </w:r>
      <w:r>
        <w:t>and</w:t>
      </w:r>
      <w:r>
        <w:rPr>
          <w:spacing w:val="-14"/>
        </w:rPr>
        <w:t xml:space="preserve"> </w:t>
      </w:r>
      <w:r>
        <w:t>borrowings;</w:t>
      </w:r>
      <w:r>
        <w:rPr>
          <w:spacing w:val="-12"/>
        </w:rPr>
        <w:t xml:space="preserve"> </w:t>
      </w:r>
      <w:r>
        <w:t>the</w:t>
      </w:r>
      <w:r>
        <w:rPr>
          <w:spacing w:val="-12"/>
        </w:rPr>
        <w:t xml:space="preserve"> </w:t>
      </w:r>
      <w:r>
        <w:t>effective</w:t>
      </w:r>
      <w:r>
        <w:rPr>
          <w:spacing w:val="-11"/>
        </w:rPr>
        <w:t xml:space="preserve"> </w:t>
      </w:r>
      <w:r>
        <w:t>management</w:t>
      </w:r>
      <w:r>
        <w:rPr>
          <w:spacing w:val="-12"/>
        </w:rPr>
        <w:t xml:space="preserve"> </w:t>
      </w:r>
      <w:r>
        <w:t>of</w:t>
      </w:r>
      <w:r>
        <w:rPr>
          <w:spacing w:val="-11"/>
        </w:rPr>
        <w:t xml:space="preserve"> </w:t>
      </w:r>
      <w:r>
        <w:t>risk</w:t>
      </w:r>
      <w:r>
        <w:rPr>
          <w:spacing w:val="-11"/>
        </w:rPr>
        <w:t xml:space="preserve"> </w:t>
      </w:r>
      <w:r>
        <w:t>related</w:t>
      </w:r>
      <w:r>
        <w:rPr>
          <w:spacing w:val="-13"/>
        </w:rPr>
        <w:t xml:space="preserve"> </w:t>
      </w:r>
      <w:r>
        <w:t>to</w:t>
      </w:r>
      <w:r>
        <w:rPr>
          <w:spacing w:val="-13"/>
        </w:rPr>
        <w:t xml:space="preserve"> </w:t>
      </w:r>
      <w:r>
        <w:t>these</w:t>
      </w:r>
      <w:r>
        <w:rPr>
          <w:spacing w:val="-12"/>
        </w:rPr>
        <w:t xml:space="preserve"> </w:t>
      </w:r>
      <w:r>
        <w:t>activities;</w:t>
      </w:r>
      <w:r>
        <w:rPr>
          <w:spacing w:val="-59"/>
        </w:rPr>
        <w:t xml:space="preserve"> </w:t>
      </w:r>
      <w:r>
        <w:t>and</w:t>
      </w:r>
      <w:r>
        <w:rPr>
          <w:spacing w:val="1"/>
        </w:rPr>
        <w:t xml:space="preserve"> </w:t>
      </w:r>
      <w:r>
        <w:t>the</w:t>
      </w:r>
      <w:r>
        <w:rPr>
          <w:spacing w:val="1"/>
        </w:rPr>
        <w:t xml:space="preserve"> </w:t>
      </w:r>
      <w:r>
        <w:t>optimisation</w:t>
      </w:r>
      <w:r>
        <w:rPr>
          <w:spacing w:val="1"/>
        </w:rPr>
        <w:t xml:space="preserve"> </w:t>
      </w:r>
      <w:r>
        <w:t>of</w:t>
      </w:r>
      <w:r>
        <w:rPr>
          <w:spacing w:val="1"/>
        </w:rPr>
        <w:t xml:space="preserve"> </w:t>
      </w:r>
      <w:r>
        <w:t>performance</w:t>
      </w:r>
      <w:r>
        <w:rPr>
          <w:spacing w:val="1"/>
        </w:rPr>
        <w:t xml:space="preserve"> </w:t>
      </w:r>
      <w:r>
        <w:t>from</w:t>
      </w:r>
      <w:r>
        <w:rPr>
          <w:spacing w:val="1"/>
        </w:rPr>
        <w:t xml:space="preserve"> </w:t>
      </w:r>
      <w:r>
        <w:t>these</w:t>
      </w:r>
      <w:r>
        <w:rPr>
          <w:spacing w:val="1"/>
        </w:rPr>
        <w:t xml:space="preserve"> </w:t>
      </w:r>
      <w:r>
        <w:t>activities</w:t>
      </w:r>
      <w:r>
        <w:rPr>
          <w:spacing w:val="1"/>
        </w:rPr>
        <w:t xml:space="preserve"> </w:t>
      </w:r>
      <w:r>
        <w:t>within</w:t>
      </w:r>
      <w:r>
        <w:rPr>
          <w:spacing w:val="1"/>
        </w:rPr>
        <w:t xml:space="preserve"> </w:t>
      </w:r>
      <w:r>
        <w:t>a</w:t>
      </w:r>
      <w:r>
        <w:rPr>
          <w:spacing w:val="1"/>
        </w:rPr>
        <w:t xml:space="preserve"> </w:t>
      </w:r>
      <w:r>
        <w:t>controlled</w:t>
      </w:r>
      <w:r>
        <w:rPr>
          <w:spacing w:val="1"/>
        </w:rPr>
        <w:t xml:space="preserve"> </w:t>
      </w:r>
      <w:r>
        <w:t>risk</w:t>
      </w:r>
      <w:r>
        <w:rPr>
          <w:spacing w:val="1"/>
        </w:rPr>
        <w:t xml:space="preserve"> </w:t>
      </w:r>
      <w:r>
        <w:t>framework.</w:t>
      </w:r>
    </w:p>
    <w:p w14:paraId="7AC81ADD" w14:textId="77777777" w:rsidR="00C04A7D" w:rsidRDefault="00C04A7D" w:rsidP="00C04A7D">
      <w:pPr>
        <w:pStyle w:val="Heading2"/>
      </w:pPr>
      <w:r>
        <w:t>The overriding principle of the Treasury Management Policy is to avoid risk rather than</w:t>
      </w:r>
      <w:r>
        <w:rPr>
          <w:spacing w:val="1"/>
        </w:rPr>
        <w:t xml:space="preserve"> </w:t>
      </w:r>
      <w:r>
        <w:t>to maximise return.</w:t>
      </w:r>
      <w:r>
        <w:rPr>
          <w:spacing w:val="1"/>
        </w:rPr>
        <w:t xml:space="preserve"> </w:t>
      </w:r>
      <w:r>
        <w:t>The key criteria for assessing the desirability of any potential</w:t>
      </w:r>
      <w:r>
        <w:rPr>
          <w:spacing w:val="1"/>
        </w:rPr>
        <w:t xml:space="preserve"> </w:t>
      </w:r>
      <w:r>
        <w:t>investment,</w:t>
      </w:r>
      <w:r>
        <w:rPr>
          <w:spacing w:val="-2"/>
        </w:rPr>
        <w:t xml:space="preserve"> </w:t>
      </w:r>
      <w:r>
        <w:t>therefore,</w:t>
      </w:r>
      <w:r>
        <w:rPr>
          <w:spacing w:val="1"/>
        </w:rPr>
        <w:t xml:space="preserve"> </w:t>
      </w:r>
      <w:r>
        <w:t>will</w:t>
      </w:r>
      <w:r>
        <w:rPr>
          <w:spacing w:val="1"/>
        </w:rPr>
        <w:t xml:space="preserve"> </w:t>
      </w:r>
      <w:r>
        <w:t>be</w:t>
      </w:r>
      <w:r>
        <w:rPr>
          <w:spacing w:val="-1"/>
        </w:rPr>
        <w:t xml:space="preserve"> </w:t>
      </w:r>
      <w:r>
        <w:t>security,</w:t>
      </w:r>
      <w:r>
        <w:rPr>
          <w:spacing w:val="2"/>
        </w:rPr>
        <w:t xml:space="preserve"> </w:t>
      </w:r>
      <w:r>
        <w:t>liquidity</w:t>
      </w:r>
      <w:r>
        <w:rPr>
          <w:spacing w:val="-3"/>
        </w:rPr>
        <w:t xml:space="preserve"> </w:t>
      </w:r>
      <w:r>
        <w:t>and</w:t>
      </w:r>
      <w:r>
        <w:rPr>
          <w:spacing w:val="-1"/>
        </w:rPr>
        <w:t xml:space="preserve"> </w:t>
      </w:r>
      <w:r>
        <w:t>yield</w:t>
      </w:r>
      <w:r>
        <w:rPr>
          <w:spacing w:val="1"/>
        </w:rPr>
        <w:t xml:space="preserve"> </w:t>
      </w:r>
      <w:r>
        <w:t>respectively.</w:t>
      </w:r>
    </w:p>
    <w:p w14:paraId="69BB98BA" w14:textId="77777777" w:rsidR="00C04A7D" w:rsidRDefault="00C04A7D" w:rsidP="00C04A7D">
      <w:pPr>
        <w:pStyle w:val="Heading1"/>
      </w:pPr>
      <w:bookmarkStart w:id="7" w:name="_Toc160554368"/>
      <w:bookmarkStart w:id="8" w:name="_Toc165364988"/>
      <w:r>
        <w:t>Risk</w:t>
      </w:r>
      <w:bookmarkEnd w:id="7"/>
      <w:bookmarkEnd w:id="8"/>
    </w:p>
    <w:p w14:paraId="5CDF0EEE" w14:textId="77777777" w:rsidR="00C04A7D" w:rsidRPr="006543A9" w:rsidRDefault="00C04A7D" w:rsidP="00C04A7D">
      <w:pPr>
        <w:pStyle w:val="Heading2"/>
      </w:pPr>
      <w:r>
        <w:t>The Chief Officer Resources is responsible for the achievement of effective treasury</w:t>
      </w:r>
      <w:r>
        <w:rPr>
          <w:spacing w:val="1"/>
        </w:rPr>
        <w:t xml:space="preserve"> </w:t>
      </w:r>
      <w:r>
        <w:rPr>
          <w:spacing w:val="-1"/>
        </w:rPr>
        <w:t>management</w:t>
      </w:r>
      <w:r>
        <w:rPr>
          <w:spacing w:val="-13"/>
        </w:rPr>
        <w:t xml:space="preserve"> </w:t>
      </w:r>
      <w:r>
        <w:rPr>
          <w:spacing w:val="-1"/>
        </w:rPr>
        <w:t>i.e.</w:t>
      </w:r>
      <w:r>
        <w:rPr>
          <w:spacing w:val="-15"/>
        </w:rPr>
        <w:t xml:space="preserve"> </w:t>
      </w:r>
      <w:r>
        <w:rPr>
          <w:spacing w:val="-1"/>
        </w:rPr>
        <w:t>the</w:t>
      </w:r>
      <w:r>
        <w:rPr>
          <w:spacing w:val="-13"/>
        </w:rPr>
        <w:t xml:space="preserve"> </w:t>
      </w:r>
      <w:r>
        <w:rPr>
          <w:spacing w:val="-1"/>
        </w:rPr>
        <w:t>maximisation</w:t>
      </w:r>
      <w:r>
        <w:rPr>
          <w:spacing w:val="-14"/>
        </w:rPr>
        <w:t xml:space="preserve"> </w:t>
      </w:r>
      <w:r>
        <w:t>of</w:t>
      </w:r>
      <w:r>
        <w:rPr>
          <w:spacing w:val="-10"/>
        </w:rPr>
        <w:t xml:space="preserve"> </w:t>
      </w:r>
      <w:r>
        <w:t>short</w:t>
      </w:r>
      <w:r>
        <w:rPr>
          <w:spacing w:val="-15"/>
        </w:rPr>
        <w:t>-term</w:t>
      </w:r>
      <w:r>
        <w:rPr>
          <w:spacing w:val="-14"/>
        </w:rPr>
        <w:t xml:space="preserve"> </w:t>
      </w:r>
      <w:r>
        <w:t>cash</w:t>
      </w:r>
      <w:r>
        <w:rPr>
          <w:spacing w:val="-14"/>
        </w:rPr>
        <w:t xml:space="preserve"> </w:t>
      </w:r>
      <w:r>
        <w:t>balances</w:t>
      </w:r>
      <w:r>
        <w:rPr>
          <w:spacing w:val="-13"/>
        </w:rPr>
        <w:t xml:space="preserve"> </w:t>
      </w:r>
      <w:r>
        <w:t>through</w:t>
      </w:r>
      <w:r>
        <w:rPr>
          <w:spacing w:val="-14"/>
        </w:rPr>
        <w:t xml:space="preserve"> </w:t>
      </w:r>
      <w:r>
        <w:t>the</w:t>
      </w:r>
      <w:r>
        <w:rPr>
          <w:spacing w:val="-18"/>
        </w:rPr>
        <w:t xml:space="preserve"> </w:t>
      </w:r>
      <w:r>
        <w:t>management of debtors and creditors, and the maximisation of the return on those cash balances</w:t>
      </w:r>
      <w:r>
        <w:rPr>
          <w:spacing w:val="1"/>
        </w:rPr>
        <w:t xml:space="preserve"> </w:t>
      </w:r>
      <w:r>
        <w:t>within</w:t>
      </w:r>
      <w:r>
        <w:rPr>
          <w:spacing w:val="-1"/>
        </w:rPr>
        <w:t xml:space="preserve"> </w:t>
      </w:r>
      <w:r>
        <w:t>the established risk</w:t>
      </w:r>
      <w:r>
        <w:rPr>
          <w:spacing w:val="-2"/>
        </w:rPr>
        <w:t xml:space="preserve"> </w:t>
      </w:r>
      <w:r>
        <w:t>framework.</w:t>
      </w:r>
    </w:p>
    <w:p w14:paraId="744CA7DC" w14:textId="77777777" w:rsidR="00C04A7D" w:rsidRPr="00F37090" w:rsidRDefault="00C04A7D" w:rsidP="00C04A7D">
      <w:pPr>
        <w:pStyle w:val="Heading2"/>
      </w:pPr>
      <w:r>
        <w:t>The identification, monitoring and control of risk are key criteria for measuring the</w:t>
      </w:r>
      <w:r>
        <w:rPr>
          <w:spacing w:val="1"/>
        </w:rPr>
        <w:t xml:space="preserve"> </w:t>
      </w:r>
      <w:r>
        <w:t>effectiveness of Treasury Management. The control structure is therefore focused on a</w:t>
      </w:r>
      <w:r>
        <w:rPr>
          <w:spacing w:val="1"/>
        </w:rPr>
        <w:t xml:space="preserve"> </w:t>
      </w:r>
      <w:r>
        <w:t>risk</w:t>
      </w:r>
      <w:r>
        <w:rPr>
          <w:spacing w:val="-10"/>
        </w:rPr>
        <w:t>-based</w:t>
      </w:r>
      <w:r>
        <w:rPr>
          <w:spacing w:val="-11"/>
        </w:rPr>
        <w:t xml:space="preserve"> </w:t>
      </w:r>
      <w:r>
        <w:t>approach</w:t>
      </w:r>
      <w:r>
        <w:rPr>
          <w:spacing w:val="-12"/>
        </w:rPr>
        <w:t xml:space="preserve"> </w:t>
      </w:r>
      <w:r>
        <w:t>to</w:t>
      </w:r>
      <w:r>
        <w:rPr>
          <w:spacing w:val="-10"/>
        </w:rPr>
        <w:t xml:space="preserve"> </w:t>
      </w:r>
      <w:r>
        <w:t>investment</w:t>
      </w:r>
      <w:r>
        <w:rPr>
          <w:spacing w:val="-9"/>
        </w:rPr>
        <w:t xml:space="preserve"> </w:t>
      </w:r>
      <w:r>
        <w:t>decisions.</w:t>
      </w:r>
      <w:r>
        <w:rPr>
          <w:spacing w:val="41"/>
        </w:rPr>
        <w:t xml:space="preserve"> </w:t>
      </w:r>
      <w:r>
        <w:t>The</w:t>
      </w:r>
      <w:r>
        <w:rPr>
          <w:spacing w:val="-13"/>
        </w:rPr>
        <w:t xml:space="preserve"> </w:t>
      </w:r>
      <w:r>
        <w:t>key</w:t>
      </w:r>
      <w:r>
        <w:rPr>
          <w:spacing w:val="-13"/>
        </w:rPr>
        <w:t xml:space="preserve"> </w:t>
      </w:r>
      <w:r>
        <w:t>risks</w:t>
      </w:r>
      <w:r>
        <w:rPr>
          <w:spacing w:val="-12"/>
        </w:rPr>
        <w:t xml:space="preserve"> </w:t>
      </w:r>
      <w:r>
        <w:t>to</w:t>
      </w:r>
      <w:r>
        <w:rPr>
          <w:spacing w:val="-9"/>
        </w:rPr>
        <w:t xml:space="preserve"> </w:t>
      </w:r>
      <w:r>
        <w:t>be</w:t>
      </w:r>
      <w:r>
        <w:rPr>
          <w:spacing w:val="-10"/>
        </w:rPr>
        <w:t xml:space="preserve"> </w:t>
      </w:r>
      <w:r>
        <w:t>monitored</w:t>
      </w:r>
      <w:r>
        <w:rPr>
          <w:spacing w:val="-10"/>
        </w:rPr>
        <w:t xml:space="preserve"> </w:t>
      </w:r>
      <w:r>
        <w:t>are</w:t>
      </w:r>
      <w:r>
        <w:rPr>
          <w:spacing w:val="-10"/>
        </w:rPr>
        <w:t xml:space="preserve"> </w:t>
      </w:r>
      <w:r>
        <w:t>detailed</w:t>
      </w:r>
      <w:r>
        <w:rPr>
          <w:spacing w:val="-59"/>
        </w:rPr>
        <w:t xml:space="preserve"> </w:t>
      </w:r>
      <w:r>
        <w:t>below.</w:t>
      </w:r>
    </w:p>
    <w:p w14:paraId="3BD0963D" w14:textId="77777777" w:rsidR="00C04A7D" w:rsidRPr="00F37090" w:rsidRDefault="00C04A7D" w:rsidP="00C04A7D">
      <w:pPr>
        <w:pStyle w:val="Heading2"/>
      </w:pPr>
      <w:r>
        <w:rPr>
          <w:u w:val="single"/>
        </w:rPr>
        <w:t xml:space="preserve">Liquidity risk </w:t>
      </w:r>
      <w:r>
        <w:t>- ensuring adequate but not excessive cash resources are available at all</w:t>
      </w:r>
      <w:r>
        <w:rPr>
          <w:spacing w:val="1"/>
        </w:rPr>
        <w:t xml:space="preserve"> </w:t>
      </w:r>
      <w:r>
        <w:t>times</w:t>
      </w:r>
      <w:r>
        <w:rPr>
          <w:spacing w:val="-3"/>
        </w:rPr>
        <w:t xml:space="preserve"> </w:t>
      </w:r>
      <w:r>
        <w:t>to</w:t>
      </w:r>
      <w:r>
        <w:rPr>
          <w:spacing w:val="-2"/>
        </w:rPr>
        <w:t xml:space="preserve"> </w:t>
      </w:r>
      <w:r>
        <w:t>meet</w:t>
      </w:r>
      <w:r>
        <w:rPr>
          <w:spacing w:val="2"/>
        </w:rPr>
        <w:t xml:space="preserve"> </w:t>
      </w:r>
      <w:r>
        <w:t>working capital</w:t>
      </w:r>
      <w:r>
        <w:rPr>
          <w:spacing w:val="-1"/>
        </w:rPr>
        <w:t xml:space="preserve"> </w:t>
      </w:r>
      <w:r>
        <w:t>needs.</w:t>
      </w:r>
    </w:p>
    <w:p w14:paraId="4C206A9E" w14:textId="77777777" w:rsidR="00C04A7D" w:rsidRPr="00F37090" w:rsidRDefault="00C04A7D" w:rsidP="00C04A7D">
      <w:pPr>
        <w:pStyle w:val="Heading2"/>
      </w:pPr>
      <w:r>
        <w:rPr>
          <w:u w:val="single"/>
        </w:rPr>
        <w:t>Investment</w:t>
      </w:r>
      <w:r>
        <w:rPr>
          <w:spacing w:val="1"/>
          <w:u w:val="single"/>
        </w:rPr>
        <w:t xml:space="preserve"> </w:t>
      </w:r>
      <w:r>
        <w:rPr>
          <w:u w:val="single"/>
        </w:rPr>
        <w:t>risk</w:t>
      </w:r>
      <w:r>
        <w:rPr>
          <w:spacing w:val="1"/>
          <w:u w:val="single"/>
        </w:rPr>
        <w:t xml:space="preserve"> </w:t>
      </w:r>
      <w:r>
        <w:t>-</w:t>
      </w:r>
      <w:r>
        <w:rPr>
          <w:spacing w:val="1"/>
        </w:rPr>
        <w:t xml:space="preserve"> </w:t>
      </w:r>
      <w:r>
        <w:t>a key objective</w:t>
      </w:r>
      <w:r>
        <w:rPr>
          <w:spacing w:val="1"/>
        </w:rPr>
        <w:t xml:space="preserve"> </w:t>
      </w:r>
      <w:r>
        <w:t>is</w:t>
      </w:r>
      <w:r>
        <w:rPr>
          <w:spacing w:val="1"/>
        </w:rPr>
        <w:t xml:space="preserve"> </w:t>
      </w:r>
      <w:r>
        <w:t>the maximisation</w:t>
      </w:r>
      <w:r>
        <w:rPr>
          <w:spacing w:val="1"/>
        </w:rPr>
        <w:t xml:space="preserve"> </w:t>
      </w:r>
      <w:r>
        <w:t>of</w:t>
      </w:r>
      <w:r>
        <w:rPr>
          <w:spacing w:val="1"/>
        </w:rPr>
        <w:t xml:space="preserve"> </w:t>
      </w:r>
      <w:r>
        <w:t>the return on short term</w:t>
      </w:r>
      <w:r>
        <w:rPr>
          <w:spacing w:val="1"/>
        </w:rPr>
        <w:t xml:space="preserve"> </w:t>
      </w:r>
      <w:r>
        <w:t>investment</w:t>
      </w:r>
      <w:r>
        <w:rPr>
          <w:spacing w:val="-1"/>
        </w:rPr>
        <w:t xml:space="preserve"> </w:t>
      </w:r>
      <w:r>
        <w:t>but within</w:t>
      </w:r>
      <w:r>
        <w:rPr>
          <w:spacing w:val="-4"/>
        </w:rPr>
        <w:t xml:space="preserve"> </w:t>
      </w:r>
      <w:r>
        <w:t>a</w:t>
      </w:r>
      <w:r>
        <w:rPr>
          <w:spacing w:val="-6"/>
        </w:rPr>
        <w:t xml:space="preserve"> </w:t>
      </w:r>
      <w:r>
        <w:t>control</w:t>
      </w:r>
      <w:r>
        <w:rPr>
          <w:spacing w:val="-12"/>
        </w:rPr>
        <w:t xml:space="preserve"> </w:t>
      </w:r>
      <w:r>
        <w:t>framework</w:t>
      </w:r>
      <w:r>
        <w:rPr>
          <w:spacing w:val="-7"/>
        </w:rPr>
        <w:t xml:space="preserve"> </w:t>
      </w:r>
      <w:r>
        <w:t>that</w:t>
      </w:r>
      <w:r>
        <w:rPr>
          <w:spacing w:val="-5"/>
        </w:rPr>
        <w:t xml:space="preserve"> </w:t>
      </w:r>
      <w:r>
        <w:t>ensures</w:t>
      </w:r>
      <w:r>
        <w:rPr>
          <w:spacing w:val="-10"/>
        </w:rPr>
        <w:t xml:space="preserve"> </w:t>
      </w:r>
      <w:r>
        <w:t>the</w:t>
      </w:r>
      <w:r>
        <w:rPr>
          <w:spacing w:val="-8"/>
        </w:rPr>
        <w:t xml:space="preserve"> </w:t>
      </w:r>
      <w:r>
        <w:t>security</w:t>
      </w:r>
      <w:r>
        <w:rPr>
          <w:spacing w:val="-3"/>
        </w:rPr>
        <w:t xml:space="preserve"> </w:t>
      </w:r>
      <w:r>
        <w:t>of</w:t>
      </w:r>
      <w:r>
        <w:rPr>
          <w:spacing w:val="-5"/>
        </w:rPr>
        <w:t xml:space="preserve"> </w:t>
      </w:r>
      <w:r>
        <w:t>investment</w:t>
      </w:r>
      <w:r>
        <w:rPr>
          <w:spacing w:val="-9"/>
        </w:rPr>
        <w:t xml:space="preserve"> </w:t>
      </w:r>
      <w:r>
        <w:t>funds.</w:t>
      </w:r>
      <w:r>
        <w:rPr>
          <w:spacing w:val="-59"/>
        </w:rPr>
        <w:t xml:space="preserve"> </w:t>
      </w:r>
      <w:r>
        <w:t>The policy seeks to ensure that risk is diversified and that funds are deposited with</w:t>
      </w:r>
      <w:r>
        <w:rPr>
          <w:spacing w:val="1"/>
        </w:rPr>
        <w:t xml:space="preserve"> </w:t>
      </w:r>
      <w:r>
        <w:t>secure and stable organisations. The credit rating criteria established by this Policy will</w:t>
      </w:r>
      <w:r>
        <w:rPr>
          <w:spacing w:val="1"/>
        </w:rPr>
        <w:t xml:space="preserve"> </w:t>
      </w:r>
      <w:r>
        <w:t>be applied when selecting organisations for placement of investments. Appropriately</w:t>
      </w:r>
      <w:r>
        <w:rPr>
          <w:spacing w:val="1"/>
        </w:rPr>
        <w:t xml:space="preserve"> </w:t>
      </w:r>
      <w:r>
        <w:t>appointed advisors and Cash Managers may also be used to provide expert market</w:t>
      </w:r>
      <w:r>
        <w:rPr>
          <w:spacing w:val="1"/>
        </w:rPr>
        <w:t xml:space="preserve"> </w:t>
      </w:r>
      <w:r>
        <w:t>advice.</w:t>
      </w:r>
    </w:p>
    <w:p w14:paraId="12A6FBAE" w14:textId="77777777" w:rsidR="00C04A7D" w:rsidRPr="00F37090" w:rsidRDefault="00C04A7D" w:rsidP="00C04A7D">
      <w:pPr>
        <w:pStyle w:val="Heading2"/>
      </w:pPr>
      <w:r>
        <w:rPr>
          <w:u w:val="single"/>
        </w:rPr>
        <w:t xml:space="preserve">Interest and exchange rate risk </w:t>
      </w:r>
      <w:r>
        <w:t>- funds need to be managed to reduce exposure to</w:t>
      </w:r>
      <w:r>
        <w:rPr>
          <w:spacing w:val="1"/>
        </w:rPr>
        <w:t xml:space="preserve"> </w:t>
      </w:r>
      <w:r>
        <w:rPr>
          <w:spacing w:val="-1"/>
        </w:rPr>
        <w:t>fluctuations</w:t>
      </w:r>
      <w:r>
        <w:rPr>
          <w:spacing w:val="-2"/>
        </w:rPr>
        <w:t xml:space="preserve"> </w:t>
      </w:r>
      <w:r>
        <w:rPr>
          <w:spacing w:val="-1"/>
        </w:rPr>
        <w:t>in</w:t>
      </w:r>
      <w:r>
        <w:t xml:space="preserve"> </w:t>
      </w:r>
      <w:r>
        <w:rPr>
          <w:spacing w:val="-1"/>
        </w:rPr>
        <w:t>interest</w:t>
      </w:r>
      <w:r>
        <w:t xml:space="preserve"> and exchange</w:t>
      </w:r>
      <w:r>
        <w:rPr>
          <w:spacing w:val="-2"/>
        </w:rPr>
        <w:t xml:space="preserve"> </w:t>
      </w:r>
      <w:r>
        <w:t>rates</w:t>
      </w:r>
      <w:r>
        <w:rPr>
          <w:spacing w:val="1"/>
        </w:rPr>
        <w:t xml:space="preserve"> </w:t>
      </w:r>
      <w:r>
        <w:t>and</w:t>
      </w:r>
      <w:r>
        <w:rPr>
          <w:spacing w:val="-2"/>
        </w:rPr>
        <w:t xml:space="preserve"> </w:t>
      </w:r>
      <w:r>
        <w:t>avoid</w:t>
      </w:r>
      <w:r>
        <w:rPr>
          <w:spacing w:val="1"/>
        </w:rPr>
        <w:t xml:space="preserve"> </w:t>
      </w:r>
      <w:r>
        <w:t>detrimental</w:t>
      </w:r>
      <w:r>
        <w:rPr>
          <w:spacing w:val="-1"/>
        </w:rPr>
        <w:t xml:space="preserve"> </w:t>
      </w:r>
      <w:r>
        <w:t>impacts</w:t>
      </w:r>
      <w:r>
        <w:rPr>
          <w:spacing w:val="-2"/>
        </w:rPr>
        <w:t xml:space="preserve"> </w:t>
      </w:r>
      <w:r>
        <w:t>on</w:t>
      </w:r>
      <w:r>
        <w:rPr>
          <w:spacing w:val="-31"/>
        </w:rPr>
        <w:t xml:space="preserve"> </w:t>
      </w:r>
      <w:r>
        <w:t>budgets.</w:t>
      </w:r>
    </w:p>
    <w:p w14:paraId="2B11F23E" w14:textId="77777777" w:rsidR="00C04A7D" w:rsidRDefault="00C04A7D" w:rsidP="00C04A7D">
      <w:pPr>
        <w:pStyle w:val="Heading2"/>
        <w:jc w:val="both"/>
      </w:pPr>
      <w:r w:rsidRPr="00DB241E">
        <w:rPr>
          <w:u w:val="single"/>
        </w:rPr>
        <w:t xml:space="preserve">Legal and Regulatory risk </w:t>
      </w:r>
      <w:r>
        <w:t>- all Treasury Management activity must comply with the</w:t>
      </w:r>
      <w:r w:rsidRPr="00DB241E">
        <w:rPr>
          <w:spacing w:val="1"/>
        </w:rPr>
        <w:t xml:space="preserve"> </w:t>
      </w:r>
      <w:r>
        <w:t>University’s</w:t>
      </w:r>
      <w:r w:rsidRPr="00DB241E">
        <w:rPr>
          <w:spacing w:val="-1"/>
        </w:rPr>
        <w:t xml:space="preserve"> </w:t>
      </w:r>
      <w:r>
        <w:t>statutory</w:t>
      </w:r>
      <w:r w:rsidRPr="00DB241E">
        <w:rPr>
          <w:spacing w:val="-2"/>
        </w:rPr>
        <w:t xml:space="preserve"> </w:t>
      </w:r>
      <w:r>
        <w:t>powers</w:t>
      </w:r>
      <w:r w:rsidRPr="00DB241E">
        <w:rPr>
          <w:spacing w:val="1"/>
        </w:rPr>
        <w:t xml:space="preserve"> </w:t>
      </w:r>
      <w:r>
        <w:t>and</w:t>
      </w:r>
      <w:r w:rsidRPr="00DB241E">
        <w:rPr>
          <w:spacing w:val="-1"/>
        </w:rPr>
        <w:t xml:space="preserve"> </w:t>
      </w:r>
      <w:r>
        <w:t>regulatory</w:t>
      </w:r>
      <w:r w:rsidRPr="00DB241E">
        <w:rPr>
          <w:spacing w:val="-32"/>
        </w:rPr>
        <w:t xml:space="preserve"> </w:t>
      </w:r>
      <w:r>
        <w:t>requirements.</w:t>
      </w:r>
    </w:p>
    <w:p w14:paraId="6A86F88E" w14:textId="77777777" w:rsidR="00C04A7D" w:rsidRPr="00F37090" w:rsidRDefault="00C04A7D" w:rsidP="00C04A7D">
      <w:pPr>
        <w:pStyle w:val="Heading2"/>
        <w:jc w:val="both"/>
      </w:pPr>
      <w:r w:rsidRPr="00DB241E">
        <w:rPr>
          <w:u w:val="single"/>
        </w:rPr>
        <w:t xml:space="preserve">Irregularity risk </w:t>
      </w:r>
      <w:r>
        <w:t>– any circumstances that may expose dealings to risk of loss through</w:t>
      </w:r>
      <w:r w:rsidRPr="00DB241E">
        <w:rPr>
          <w:spacing w:val="1"/>
        </w:rPr>
        <w:t xml:space="preserve"> </w:t>
      </w:r>
      <w:r w:rsidRPr="00DB241E">
        <w:rPr>
          <w:spacing w:val="-3"/>
        </w:rPr>
        <w:t>fraud,</w:t>
      </w:r>
      <w:r w:rsidRPr="00DB241E">
        <w:rPr>
          <w:spacing w:val="7"/>
        </w:rPr>
        <w:t xml:space="preserve"> </w:t>
      </w:r>
      <w:r w:rsidRPr="00DB241E">
        <w:rPr>
          <w:spacing w:val="-3"/>
        </w:rPr>
        <w:t>error</w:t>
      </w:r>
      <w:r w:rsidRPr="00DB241E">
        <w:rPr>
          <w:spacing w:val="-8"/>
        </w:rPr>
        <w:t xml:space="preserve"> </w:t>
      </w:r>
      <w:r w:rsidRPr="00DB241E">
        <w:rPr>
          <w:spacing w:val="-3"/>
        </w:rPr>
        <w:t>or</w:t>
      </w:r>
      <w:r w:rsidRPr="00DB241E">
        <w:rPr>
          <w:spacing w:val="-9"/>
        </w:rPr>
        <w:t xml:space="preserve"> </w:t>
      </w:r>
      <w:r w:rsidRPr="00DB241E">
        <w:rPr>
          <w:spacing w:val="-3"/>
        </w:rPr>
        <w:t>corruption</w:t>
      </w:r>
      <w:r w:rsidRPr="00DB241E">
        <w:rPr>
          <w:spacing w:val="-15"/>
        </w:rPr>
        <w:t xml:space="preserve"> </w:t>
      </w:r>
      <w:r w:rsidRPr="00DB241E">
        <w:rPr>
          <w:spacing w:val="-3"/>
        </w:rPr>
        <w:t>will</w:t>
      </w:r>
      <w:r w:rsidRPr="00DB241E">
        <w:rPr>
          <w:spacing w:val="-14"/>
        </w:rPr>
        <w:t xml:space="preserve"> </w:t>
      </w:r>
      <w:r w:rsidRPr="00DB241E">
        <w:rPr>
          <w:spacing w:val="-3"/>
        </w:rPr>
        <w:t>be</w:t>
      </w:r>
      <w:r w:rsidRPr="00DB241E">
        <w:rPr>
          <w:spacing w:val="-12"/>
        </w:rPr>
        <w:t xml:space="preserve"> </w:t>
      </w:r>
      <w:r w:rsidRPr="00DB241E">
        <w:rPr>
          <w:spacing w:val="-3"/>
        </w:rPr>
        <w:t>identified</w:t>
      </w:r>
      <w:r w:rsidRPr="00DB241E">
        <w:rPr>
          <w:spacing w:val="-10"/>
        </w:rPr>
        <w:t xml:space="preserve"> </w:t>
      </w:r>
      <w:r w:rsidRPr="00DB241E">
        <w:rPr>
          <w:spacing w:val="-3"/>
        </w:rPr>
        <w:t>and</w:t>
      </w:r>
      <w:r w:rsidRPr="00DB241E">
        <w:rPr>
          <w:spacing w:val="-11"/>
        </w:rPr>
        <w:t xml:space="preserve"> </w:t>
      </w:r>
      <w:r w:rsidRPr="00DB241E">
        <w:rPr>
          <w:spacing w:val="-3"/>
        </w:rPr>
        <w:t>managed</w:t>
      </w:r>
      <w:r w:rsidRPr="00DB241E">
        <w:rPr>
          <w:spacing w:val="-11"/>
        </w:rPr>
        <w:t xml:space="preserve"> </w:t>
      </w:r>
      <w:r w:rsidRPr="00DB241E">
        <w:rPr>
          <w:spacing w:val="-3"/>
        </w:rPr>
        <w:t>in</w:t>
      </w:r>
      <w:r w:rsidRPr="00DB241E">
        <w:rPr>
          <w:spacing w:val="-11"/>
        </w:rPr>
        <w:t xml:space="preserve"> </w:t>
      </w:r>
      <w:r w:rsidRPr="00DB241E">
        <w:rPr>
          <w:spacing w:val="-3"/>
        </w:rPr>
        <w:t>accordance</w:t>
      </w:r>
      <w:r w:rsidRPr="00DB241E">
        <w:rPr>
          <w:spacing w:val="-11"/>
        </w:rPr>
        <w:t xml:space="preserve"> </w:t>
      </w:r>
      <w:r w:rsidRPr="00DB241E">
        <w:rPr>
          <w:spacing w:val="-3"/>
        </w:rPr>
        <w:t>with</w:t>
      </w:r>
      <w:r w:rsidRPr="00DB241E">
        <w:rPr>
          <w:spacing w:val="-10"/>
        </w:rPr>
        <w:t xml:space="preserve"> </w:t>
      </w:r>
      <w:r w:rsidRPr="00DB241E">
        <w:rPr>
          <w:spacing w:val="-3"/>
        </w:rPr>
        <w:t>the</w:t>
      </w:r>
      <w:r w:rsidRPr="00DB241E">
        <w:rPr>
          <w:spacing w:val="-25"/>
        </w:rPr>
        <w:t xml:space="preserve"> </w:t>
      </w:r>
      <w:r w:rsidRPr="00DB241E">
        <w:rPr>
          <w:spacing w:val="-3"/>
        </w:rPr>
        <w:t>University’s</w:t>
      </w:r>
      <w:r w:rsidRPr="00DB241E">
        <w:rPr>
          <w:spacing w:val="-59"/>
        </w:rPr>
        <w:t xml:space="preserve"> </w:t>
      </w:r>
      <w:r>
        <w:t>Counter</w:t>
      </w:r>
      <w:r w:rsidRPr="00DB241E">
        <w:rPr>
          <w:spacing w:val="-16"/>
        </w:rPr>
        <w:t xml:space="preserve"> </w:t>
      </w:r>
      <w:r>
        <w:t>Fraud</w:t>
      </w:r>
      <w:r w:rsidRPr="00DB241E">
        <w:rPr>
          <w:spacing w:val="-2"/>
        </w:rPr>
        <w:t xml:space="preserve"> </w:t>
      </w:r>
      <w:r>
        <w:t>and Corruption</w:t>
      </w:r>
      <w:r w:rsidRPr="00DB241E">
        <w:rPr>
          <w:spacing w:val="-1"/>
        </w:rPr>
        <w:t xml:space="preserve"> </w:t>
      </w:r>
      <w:r>
        <w:t>Policy,</w:t>
      </w:r>
      <w:r w:rsidRPr="00DB241E">
        <w:rPr>
          <w:spacing w:val="2"/>
        </w:rPr>
        <w:t xml:space="preserve"> </w:t>
      </w:r>
      <w:r>
        <w:t>and the</w:t>
      </w:r>
      <w:r w:rsidRPr="00DB241E">
        <w:rPr>
          <w:spacing w:val="-2"/>
        </w:rPr>
        <w:t xml:space="preserve"> </w:t>
      </w:r>
      <w:r>
        <w:t>Anti-Bribery</w:t>
      </w:r>
      <w:r w:rsidRPr="00DB241E">
        <w:rPr>
          <w:spacing w:val="-9"/>
        </w:rPr>
        <w:t xml:space="preserve"> </w:t>
      </w:r>
      <w:r>
        <w:t>policy.</w:t>
      </w:r>
    </w:p>
    <w:p w14:paraId="56FA5D17" w14:textId="57C9F9D9" w:rsidR="00C04A7D" w:rsidRPr="00F37090" w:rsidRDefault="00C04A7D" w:rsidP="00C04A7D">
      <w:pPr>
        <w:pStyle w:val="Heading2"/>
      </w:pPr>
      <w:r>
        <w:rPr>
          <w:spacing w:val="-1"/>
        </w:rPr>
        <w:t>All</w:t>
      </w:r>
      <w:r>
        <w:rPr>
          <w:spacing w:val="-10"/>
        </w:rPr>
        <w:t xml:space="preserve"> </w:t>
      </w:r>
      <w:r>
        <w:rPr>
          <w:spacing w:val="-1"/>
        </w:rPr>
        <w:t>short</w:t>
      </w:r>
      <w:r>
        <w:rPr>
          <w:rFonts w:ascii="Cambria Math" w:hAnsi="Cambria Math"/>
          <w:spacing w:val="-1"/>
        </w:rPr>
        <w:t>‐</w:t>
      </w:r>
      <w:r>
        <w:rPr>
          <w:spacing w:val="-1"/>
        </w:rPr>
        <w:t>term</w:t>
      </w:r>
      <w:r>
        <w:rPr>
          <w:spacing w:val="-10"/>
        </w:rPr>
        <w:t xml:space="preserve"> </w:t>
      </w:r>
      <w:r>
        <w:rPr>
          <w:spacing w:val="-1"/>
        </w:rPr>
        <w:t>investments</w:t>
      </w:r>
      <w:r>
        <w:rPr>
          <w:spacing w:val="-9"/>
        </w:rPr>
        <w:t xml:space="preserve"> </w:t>
      </w:r>
      <w:r>
        <w:rPr>
          <w:spacing w:val="-1"/>
        </w:rPr>
        <w:t>placed</w:t>
      </w:r>
      <w:r>
        <w:rPr>
          <w:spacing w:val="-11"/>
        </w:rPr>
        <w:t xml:space="preserve"> </w:t>
      </w:r>
      <w:r>
        <w:t>directly</w:t>
      </w:r>
      <w:r>
        <w:rPr>
          <w:spacing w:val="-12"/>
        </w:rPr>
        <w:t xml:space="preserve"> </w:t>
      </w:r>
      <w:r>
        <w:t>by</w:t>
      </w:r>
      <w:r>
        <w:rPr>
          <w:spacing w:val="-9"/>
        </w:rPr>
        <w:t xml:space="preserve"> </w:t>
      </w:r>
      <w:r>
        <w:t>the</w:t>
      </w:r>
      <w:r>
        <w:rPr>
          <w:spacing w:val="-9"/>
        </w:rPr>
        <w:t xml:space="preserve"> </w:t>
      </w:r>
      <w:r>
        <w:t>University</w:t>
      </w:r>
      <w:r>
        <w:rPr>
          <w:spacing w:val="-7"/>
        </w:rPr>
        <w:t xml:space="preserve"> </w:t>
      </w:r>
      <w:r>
        <w:t>will</w:t>
      </w:r>
      <w:r>
        <w:rPr>
          <w:spacing w:val="-10"/>
        </w:rPr>
        <w:t xml:space="preserve"> </w:t>
      </w:r>
      <w:r>
        <w:t>be</w:t>
      </w:r>
      <w:r>
        <w:rPr>
          <w:spacing w:val="-11"/>
        </w:rPr>
        <w:t xml:space="preserve"> </w:t>
      </w:r>
      <w:r>
        <w:t>with</w:t>
      </w:r>
      <w:r>
        <w:rPr>
          <w:spacing w:val="-13"/>
        </w:rPr>
        <w:t xml:space="preserve"> </w:t>
      </w:r>
      <w:r w:rsidRPr="00EF4A6F">
        <w:rPr>
          <w:spacing w:val="-1"/>
        </w:rPr>
        <w:t>organisations that have a credit</w:t>
      </w:r>
      <w:r>
        <w:t xml:space="preserve"> rating of A1, P1 or F1 or above (see 2.11).</w:t>
      </w:r>
      <w:r>
        <w:rPr>
          <w:spacing w:val="1"/>
        </w:rPr>
        <w:t xml:space="preserve"> </w:t>
      </w:r>
      <w:r>
        <w:t xml:space="preserve">No single investment will be </w:t>
      </w:r>
      <w:r w:rsidRPr="00BC59D8">
        <w:t>placed</w:t>
      </w:r>
      <w:r>
        <w:t xml:space="preserve"> for a period greater than 3 years. Total investments with any one organisation</w:t>
      </w:r>
      <w:r>
        <w:rPr>
          <w:spacing w:val="1"/>
        </w:rPr>
        <w:t xml:space="preserve"> </w:t>
      </w:r>
      <w:r>
        <w:t xml:space="preserve">will not exceed £5 million with the </w:t>
      </w:r>
      <w:r>
        <w:lastRenderedPageBreak/>
        <w:t xml:space="preserve">exception of the University’s main bank </w:t>
      </w:r>
      <w:r w:rsidR="00897B7C">
        <w:t>NatWest Group</w:t>
      </w:r>
      <w:r>
        <w:t xml:space="preserve"> (£</w:t>
      </w:r>
      <w:r>
        <w:rPr>
          <w:spacing w:val="1"/>
        </w:rPr>
        <w:t xml:space="preserve"> </w:t>
      </w:r>
      <w:r>
        <w:t>unlimited),</w:t>
      </w:r>
      <w:r>
        <w:rPr>
          <w:spacing w:val="-2"/>
        </w:rPr>
        <w:t xml:space="preserve"> </w:t>
      </w:r>
      <w:r>
        <w:t>Barclays</w:t>
      </w:r>
      <w:r>
        <w:rPr>
          <w:spacing w:val="1"/>
        </w:rPr>
        <w:t xml:space="preserve"> </w:t>
      </w:r>
      <w:r>
        <w:t>(£10</w:t>
      </w:r>
      <w:r>
        <w:rPr>
          <w:spacing w:val="-3"/>
        </w:rPr>
        <w:t xml:space="preserve"> </w:t>
      </w:r>
      <w:r>
        <w:t>million)</w:t>
      </w:r>
      <w:r>
        <w:rPr>
          <w:spacing w:val="1"/>
        </w:rPr>
        <w:t xml:space="preserve"> </w:t>
      </w:r>
      <w:r>
        <w:t>and Santander</w:t>
      </w:r>
      <w:r>
        <w:rPr>
          <w:spacing w:val="-2"/>
        </w:rPr>
        <w:t xml:space="preserve"> </w:t>
      </w:r>
      <w:r>
        <w:t>(£10 million).</w:t>
      </w:r>
    </w:p>
    <w:p w14:paraId="5DD21EB5" w14:textId="77777777" w:rsidR="00C04A7D" w:rsidRDefault="00C04A7D" w:rsidP="00C04A7D">
      <w:pPr>
        <w:pStyle w:val="Heading2"/>
      </w:pPr>
      <w:r>
        <w:rPr>
          <w:spacing w:val="-3"/>
        </w:rPr>
        <w:t>All</w:t>
      </w:r>
      <w:r>
        <w:rPr>
          <w:spacing w:val="-8"/>
        </w:rPr>
        <w:t xml:space="preserve"> </w:t>
      </w:r>
      <w:r>
        <w:rPr>
          <w:spacing w:val="-3"/>
        </w:rPr>
        <w:t>short</w:t>
      </w:r>
      <w:r>
        <w:rPr>
          <w:rFonts w:ascii="Cambria Math" w:hAnsi="Cambria Math"/>
          <w:spacing w:val="-3"/>
        </w:rPr>
        <w:t>‐</w:t>
      </w:r>
      <w:r>
        <w:rPr>
          <w:spacing w:val="-3"/>
        </w:rPr>
        <w:t>term</w:t>
      </w:r>
      <w:r>
        <w:rPr>
          <w:spacing w:val="-6"/>
        </w:rPr>
        <w:t xml:space="preserve"> </w:t>
      </w:r>
      <w:r>
        <w:rPr>
          <w:spacing w:val="-3"/>
        </w:rPr>
        <w:t>investments</w:t>
      </w:r>
      <w:r>
        <w:rPr>
          <w:spacing w:val="-6"/>
        </w:rPr>
        <w:t xml:space="preserve"> </w:t>
      </w:r>
      <w:r>
        <w:rPr>
          <w:spacing w:val="-2"/>
        </w:rPr>
        <w:t>placed</w:t>
      </w:r>
      <w:r>
        <w:rPr>
          <w:spacing w:val="-8"/>
        </w:rPr>
        <w:t xml:space="preserve"> </w:t>
      </w:r>
      <w:r>
        <w:rPr>
          <w:spacing w:val="-2"/>
        </w:rPr>
        <w:t>through</w:t>
      </w:r>
      <w:r>
        <w:rPr>
          <w:spacing w:val="-5"/>
        </w:rPr>
        <w:t xml:space="preserve"> </w:t>
      </w:r>
      <w:r>
        <w:rPr>
          <w:spacing w:val="-2"/>
        </w:rPr>
        <w:t>the</w:t>
      </w:r>
      <w:r>
        <w:rPr>
          <w:spacing w:val="-14"/>
        </w:rPr>
        <w:t xml:space="preserve"> </w:t>
      </w:r>
      <w:r>
        <w:rPr>
          <w:spacing w:val="-2"/>
        </w:rPr>
        <w:t>University’s</w:t>
      </w:r>
      <w:r>
        <w:rPr>
          <w:spacing w:val="-10"/>
        </w:rPr>
        <w:t xml:space="preserve"> </w:t>
      </w:r>
      <w:r>
        <w:rPr>
          <w:spacing w:val="-2"/>
        </w:rPr>
        <w:t>Cash</w:t>
      </w:r>
      <w:r>
        <w:rPr>
          <w:spacing w:val="-4"/>
        </w:rPr>
        <w:t xml:space="preserve"> </w:t>
      </w:r>
      <w:r>
        <w:rPr>
          <w:spacing w:val="-2"/>
        </w:rPr>
        <w:t>Manager,</w:t>
      </w:r>
      <w:r>
        <w:rPr>
          <w:spacing w:val="-9"/>
        </w:rPr>
        <w:t xml:space="preserve"> </w:t>
      </w:r>
      <w:r>
        <w:rPr>
          <w:spacing w:val="-2"/>
        </w:rPr>
        <w:t>will</w:t>
      </w:r>
      <w:r>
        <w:rPr>
          <w:spacing w:val="-19"/>
        </w:rPr>
        <w:t xml:space="preserve"> </w:t>
      </w:r>
      <w:r>
        <w:rPr>
          <w:spacing w:val="-2"/>
        </w:rPr>
        <w:t>be</w:t>
      </w:r>
      <w:r>
        <w:rPr>
          <w:spacing w:val="-20"/>
        </w:rPr>
        <w:t xml:space="preserve"> </w:t>
      </w:r>
      <w:r w:rsidRPr="00BC59D8">
        <w:t>made on a</w:t>
      </w:r>
      <w:r>
        <w:t xml:space="preserve"> segregated cash basis, and will be placed only with organisations that have a credit</w:t>
      </w:r>
      <w:r>
        <w:rPr>
          <w:spacing w:val="1"/>
        </w:rPr>
        <w:t xml:space="preserve"> </w:t>
      </w:r>
      <w:r>
        <w:t>rating of A1, P1 or F1 or above (see 2.11).</w:t>
      </w:r>
      <w:r>
        <w:rPr>
          <w:spacing w:val="1"/>
        </w:rPr>
        <w:t xml:space="preserve"> </w:t>
      </w:r>
      <w:r>
        <w:t>No single investment will be placed for a</w:t>
      </w:r>
      <w:r>
        <w:rPr>
          <w:spacing w:val="1"/>
        </w:rPr>
        <w:t xml:space="preserve"> </w:t>
      </w:r>
      <w:r>
        <w:t>period</w:t>
      </w:r>
      <w:r>
        <w:rPr>
          <w:spacing w:val="-9"/>
        </w:rPr>
        <w:t xml:space="preserve"> </w:t>
      </w:r>
      <w:r>
        <w:t>greater</w:t>
      </w:r>
      <w:r>
        <w:rPr>
          <w:spacing w:val="-8"/>
        </w:rPr>
        <w:t xml:space="preserve"> </w:t>
      </w:r>
      <w:r>
        <w:t>than</w:t>
      </w:r>
      <w:r>
        <w:rPr>
          <w:spacing w:val="-9"/>
        </w:rPr>
        <w:t xml:space="preserve"> </w:t>
      </w:r>
      <w:r>
        <w:t>3</w:t>
      </w:r>
      <w:r>
        <w:rPr>
          <w:spacing w:val="-5"/>
        </w:rPr>
        <w:t xml:space="preserve"> </w:t>
      </w:r>
      <w:r>
        <w:t>years.</w:t>
      </w:r>
      <w:r>
        <w:rPr>
          <w:spacing w:val="-10"/>
        </w:rPr>
        <w:t xml:space="preserve"> </w:t>
      </w:r>
      <w:r>
        <w:t>Total</w:t>
      </w:r>
      <w:r>
        <w:rPr>
          <w:spacing w:val="-7"/>
        </w:rPr>
        <w:t xml:space="preserve"> </w:t>
      </w:r>
      <w:r>
        <w:t>investments</w:t>
      </w:r>
      <w:r>
        <w:rPr>
          <w:spacing w:val="-8"/>
        </w:rPr>
        <w:t xml:space="preserve"> </w:t>
      </w:r>
      <w:r>
        <w:t>with</w:t>
      </w:r>
      <w:r>
        <w:rPr>
          <w:spacing w:val="-5"/>
        </w:rPr>
        <w:t xml:space="preserve"> </w:t>
      </w:r>
      <w:r>
        <w:t>any</w:t>
      </w:r>
      <w:r>
        <w:rPr>
          <w:spacing w:val="-8"/>
        </w:rPr>
        <w:t xml:space="preserve"> </w:t>
      </w:r>
      <w:r>
        <w:t>one</w:t>
      </w:r>
      <w:r>
        <w:rPr>
          <w:spacing w:val="-6"/>
        </w:rPr>
        <w:t xml:space="preserve"> </w:t>
      </w:r>
      <w:r>
        <w:t>organisation</w:t>
      </w:r>
      <w:r>
        <w:rPr>
          <w:spacing w:val="-7"/>
        </w:rPr>
        <w:t xml:space="preserve"> </w:t>
      </w:r>
      <w:r>
        <w:t>will</w:t>
      </w:r>
      <w:r>
        <w:rPr>
          <w:spacing w:val="-6"/>
        </w:rPr>
        <w:t xml:space="preserve"> </w:t>
      </w:r>
      <w:r>
        <w:t>not</w:t>
      </w:r>
      <w:r>
        <w:rPr>
          <w:spacing w:val="-5"/>
        </w:rPr>
        <w:t xml:space="preserve"> </w:t>
      </w:r>
      <w:r>
        <w:t>exceed £5</w:t>
      </w:r>
      <w:r w:rsidRPr="00F37090">
        <w:rPr>
          <w:spacing w:val="-3"/>
        </w:rPr>
        <w:t xml:space="preserve"> </w:t>
      </w:r>
      <w:r>
        <w:t>million.</w:t>
      </w:r>
    </w:p>
    <w:p w14:paraId="60F10069" w14:textId="77777777" w:rsidR="00C04A7D" w:rsidRPr="002C1E94" w:rsidRDefault="00C04A7D" w:rsidP="00C04A7D">
      <w:pPr>
        <w:pStyle w:val="Heading2"/>
      </w:pPr>
      <w:r>
        <w:t>The investment agreement</w:t>
      </w:r>
      <w:r>
        <w:rPr>
          <w:spacing w:val="1"/>
        </w:rPr>
        <w:t xml:space="preserve"> </w:t>
      </w:r>
      <w:r>
        <w:t>with the University’s Cash Manager</w:t>
      </w:r>
      <w:r>
        <w:rPr>
          <w:spacing w:val="1"/>
        </w:rPr>
        <w:t xml:space="preserve"> </w:t>
      </w:r>
      <w:r>
        <w:t>allows the use of</w:t>
      </w:r>
      <w:r>
        <w:rPr>
          <w:spacing w:val="1"/>
        </w:rPr>
        <w:t xml:space="preserve"> </w:t>
      </w:r>
      <w:r>
        <w:t>deposits,</w:t>
      </w:r>
      <w:r>
        <w:rPr>
          <w:spacing w:val="1"/>
        </w:rPr>
        <w:t xml:space="preserve"> </w:t>
      </w:r>
      <w:r>
        <w:t>certificates</w:t>
      </w:r>
      <w:r>
        <w:rPr>
          <w:spacing w:val="1"/>
        </w:rPr>
        <w:t xml:space="preserve"> </w:t>
      </w:r>
      <w:r>
        <w:t>of</w:t>
      </w:r>
      <w:r>
        <w:rPr>
          <w:spacing w:val="1"/>
        </w:rPr>
        <w:t xml:space="preserve"> </w:t>
      </w:r>
      <w:r>
        <w:t>deposit,</w:t>
      </w:r>
      <w:r>
        <w:rPr>
          <w:spacing w:val="1"/>
        </w:rPr>
        <w:t xml:space="preserve"> </w:t>
      </w:r>
      <w:r>
        <w:t>UK</w:t>
      </w:r>
      <w:r>
        <w:rPr>
          <w:spacing w:val="1"/>
        </w:rPr>
        <w:t xml:space="preserve"> </w:t>
      </w:r>
      <w:r>
        <w:t>Treasury</w:t>
      </w:r>
      <w:r>
        <w:rPr>
          <w:spacing w:val="1"/>
        </w:rPr>
        <w:t xml:space="preserve"> </w:t>
      </w:r>
      <w:r>
        <w:t>bills,</w:t>
      </w:r>
      <w:r>
        <w:rPr>
          <w:spacing w:val="1"/>
        </w:rPr>
        <w:t xml:space="preserve"> </w:t>
      </w:r>
      <w:r>
        <w:t>short-dated</w:t>
      </w:r>
      <w:r>
        <w:rPr>
          <w:spacing w:val="1"/>
        </w:rPr>
        <w:t xml:space="preserve"> </w:t>
      </w:r>
      <w:r>
        <w:t>covered/uncovered</w:t>
      </w:r>
      <w:r>
        <w:rPr>
          <w:spacing w:val="-59"/>
        </w:rPr>
        <w:t xml:space="preserve"> </w:t>
      </w:r>
      <w:r>
        <w:t>bonds, Gilts, supranational bonds, and corporate floating rate notes.</w:t>
      </w:r>
      <w:r>
        <w:rPr>
          <w:spacing w:val="1"/>
        </w:rPr>
        <w:t xml:space="preserve"> </w:t>
      </w:r>
      <w:r>
        <w:t>Investments can</w:t>
      </w:r>
      <w:r>
        <w:rPr>
          <w:spacing w:val="1"/>
        </w:rPr>
        <w:t xml:space="preserve"> </w:t>
      </w:r>
      <w:r>
        <w:t>only be made with an agreed list of counterparty banks and other institutions for whom</w:t>
      </w:r>
      <w:r>
        <w:rPr>
          <w:spacing w:val="1"/>
        </w:rPr>
        <w:t xml:space="preserve"> </w:t>
      </w:r>
      <w:r>
        <w:t>maximum deposit</w:t>
      </w:r>
      <w:r>
        <w:rPr>
          <w:spacing w:val="2"/>
        </w:rPr>
        <w:t xml:space="preserve"> </w:t>
      </w:r>
      <w:r>
        <w:t>limits</w:t>
      </w:r>
      <w:r>
        <w:rPr>
          <w:spacing w:val="-5"/>
        </w:rPr>
        <w:t xml:space="preserve"> </w:t>
      </w:r>
      <w:r>
        <w:t>and duration have</w:t>
      </w:r>
      <w:r>
        <w:rPr>
          <w:spacing w:val="-1"/>
        </w:rPr>
        <w:t xml:space="preserve"> </w:t>
      </w:r>
      <w:r>
        <w:t>been</w:t>
      </w:r>
      <w:r>
        <w:rPr>
          <w:spacing w:val="-2"/>
        </w:rPr>
        <w:t xml:space="preserve"> </w:t>
      </w:r>
      <w:r>
        <w:t>set</w:t>
      </w:r>
      <w:r>
        <w:rPr>
          <w:spacing w:val="-1"/>
        </w:rPr>
        <w:t>.</w:t>
      </w:r>
    </w:p>
    <w:p w14:paraId="18A9A340" w14:textId="77777777" w:rsidR="00C04A7D" w:rsidRPr="002C1E94" w:rsidRDefault="00C04A7D" w:rsidP="00C04A7D">
      <w:pPr>
        <w:pStyle w:val="Heading2"/>
      </w:pPr>
      <w:r>
        <w:t>Short-term credit ratings assess the ability of the organisation to repay short-term debt</w:t>
      </w:r>
      <w:r>
        <w:rPr>
          <w:spacing w:val="1"/>
        </w:rPr>
        <w:t xml:space="preserve"> </w:t>
      </w:r>
      <w:r>
        <w:t>obligations. A1/P1/F1 ratings (highest short-term rating) by Standard &amp; Poors, Moody's</w:t>
      </w:r>
      <w:r>
        <w:rPr>
          <w:spacing w:val="1"/>
        </w:rPr>
        <w:t xml:space="preserve"> </w:t>
      </w:r>
      <w:r>
        <w:t>and Fitch respectively, indicate a superior ability to repay short-term debt obligations,</w:t>
      </w:r>
      <w:r>
        <w:rPr>
          <w:spacing w:val="1"/>
        </w:rPr>
        <w:t xml:space="preserve"> </w:t>
      </w:r>
      <w:r>
        <w:t>A2/P2/F2 indicates satisfactory ability and A3/P3/F3 indicates adequate ability to meet</w:t>
      </w:r>
      <w:r>
        <w:rPr>
          <w:spacing w:val="1"/>
        </w:rPr>
        <w:t xml:space="preserve"> </w:t>
      </w:r>
      <w:r>
        <w:t>the</w:t>
      </w:r>
      <w:r>
        <w:rPr>
          <w:spacing w:val="-1"/>
        </w:rPr>
        <w:t xml:space="preserve"> </w:t>
      </w:r>
      <w:r>
        <w:t>short-term</w:t>
      </w:r>
      <w:r>
        <w:rPr>
          <w:spacing w:val="-3"/>
        </w:rPr>
        <w:t xml:space="preserve"> </w:t>
      </w:r>
      <w:r>
        <w:t>financial</w:t>
      </w:r>
      <w:r>
        <w:rPr>
          <w:spacing w:val="-4"/>
        </w:rPr>
        <w:t xml:space="preserve"> </w:t>
      </w:r>
      <w:r>
        <w:t>liabilities.</w:t>
      </w:r>
    </w:p>
    <w:p w14:paraId="3EE87F54" w14:textId="77777777" w:rsidR="00C04A7D" w:rsidRDefault="00C04A7D" w:rsidP="00C04A7D">
      <w:pPr>
        <w:pStyle w:val="Heading2"/>
      </w:pPr>
      <w:r>
        <w:t>Any deviation from the principles outlined in section 2 (above) would need the prior</w:t>
      </w:r>
      <w:r>
        <w:rPr>
          <w:spacing w:val="1"/>
        </w:rPr>
        <w:t xml:space="preserve"> </w:t>
      </w:r>
      <w:r>
        <w:t>approval</w:t>
      </w:r>
      <w:r>
        <w:rPr>
          <w:spacing w:val="-7"/>
        </w:rPr>
        <w:t xml:space="preserve"> </w:t>
      </w:r>
      <w:r>
        <w:t>of</w:t>
      </w:r>
      <w:r>
        <w:rPr>
          <w:spacing w:val="2"/>
        </w:rPr>
        <w:t xml:space="preserve"> </w:t>
      </w:r>
      <w:r>
        <w:t>the</w:t>
      </w:r>
      <w:r>
        <w:rPr>
          <w:spacing w:val="-5"/>
        </w:rPr>
        <w:t xml:space="preserve"> </w:t>
      </w:r>
      <w:r>
        <w:t>Chair</w:t>
      </w:r>
      <w:r>
        <w:rPr>
          <w:spacing w:val="-3"/>
        </w:rPr>
        <w:t xml:space="preserve"> </w:t>
      </w:r>
      <w:r>
        <w:t>of</w:t>
      </w:r>
      <w:r>
        <w:rPr>
          <w:spacing w:val="-3"/>
        </w:rPr>
        <w:t xml:space="preserve"> </w:t>
      </w:r>
      <w:r>
        <w:t>Resources</w:t>
      </w:r>
      <w:r>
        <w:rPr>
          <w:spacing w:val="-4"/>
        </w:rPr>
        <w:t xml:space="preserve"> </w:t>
      </w:r>
      <w:r>
        <w:t>Committee.</w:t>
      </w:r>
    </w:p>
    <w:p w14:paraId="78699261" w14:textId="77777777" w:rsidR="00C04A7D" w:rsidRDefault="00C04A7D" w:rsidP="00C04A7D">
      <w:pPr>
        <w:pStyle w:val="Heading2"/>
      </w:pPr>
      <w:r>
        <w:t>In line with the Financial Regulations, University bank accounts and credit arrangements may only be established with the approval of the Chief Officer Resources and in line with the Finance Department’s approved signatories.</w:t>
      </w:r>
    </w:p>
    <w:p w14:paraId="05217D6A" w14:textId="77777777" w:rsidR="00C04A7D" w:rsidRPr="009A3418" w:rsidRDefault="00C04A7D" w:rsidP="00C04A7D">
      <w:pPr>
        <w:pStyle w:val="Heading2"/>
      </w:pPr>
      <w:r>
        <w:t>The introduction of new areas of investment and trading, such as crypto currency arrangements, require the prior approval of the Resources Committee.</w:t>
      </w:r>
    </w:p>
    <w:p w14:paraId="70D50DD1" w14:textId="77777777" w:rsidR="00C04A7D" w:rsidRDefault="00C04A7D" w:rsidP="00C04A7D">
      <w:pPr>
        <w:pStyle w:val="Heading1"/>
        <w:spacing w:before="0"/>
      </w:pPr>
      <w:bookmarkStart w:id="9" w:name="_Toc160554369"/>
      <w:bookmarkStart w:id="10" w:name="_Toc165364989"/>
      <w:r>
        <w:t>Roles and Responsibilities</w:t>
      </w:r>
      <w:bookmarkEnd w:id="9"/>
      <w:bookmarkEnd w:id="10"/>
    </w:p>
    <w:p w14:paraId="3880019D" w14:textId="77777777" w:rsidR="00C04A7D" w:rsidRPr="003259B1" w:rsidRDefault="00C04A7D" w:rsidP="00C04A7D">
      <w:pPr>
        <w:pStyle w:val="Heading2"/>
      </w:pPr>
      <w:r>
        <w:t>The Board of Governors has delegated the responsibility for the monitoring of treasury</w:t>
      </w:r>
      <w:r>
        <w:rPr>
          <w:spacing w:val="1"/>
        </w:rPr>
        <w:t xml:space="preserve"> </w:t>
      </w:r>
      <w:r>
        <w:rPr>
          <w:spacing w:val="-1"/>
        </w:rPr>
        <w:t>management</w:t>
      </w:r>
      <w:r>
        <w:rPr>
          <w:spacing w:val="2"/>
        </w:rPr>
        <w:t xml:space="preserve"> </w:t>
      </w:r>
      <w:r>
        <w:rPr>
          <w:spacing w:val="-1"/>
        </w:rPr>
        <w:t>performance</w:t>
      </w:r>
      <w:r>
        <w:t xml:space="preserve"> to</w:t>
      </w:r>
      <w:r>
        <w:rPr>
          <w:spacing w:val="-2"/>
        </w:rPr>
        <w:t xml:space="preserve"> </w:t>
      </w:r>
      <w:r>
        <w:t>the</w:t>
      </w:r>
      <w:r>
        <w:rPr>
          <w:spacing w:val="-2"/>
        </w:rPr>
        <w:t xml:space="preserve"> </w:t>
      </w:r>
      <w:r>
        <w:t>Resources</w:t>
      </w:r>
      <w:r>
        <w:rPr>
          <w:spacing w:val="-23"/>
        </w:rPr>
        <w:t xml:space="preserve"> </w:t>
      </w:r>
      <w:r>
        <w:t>Committee.</w:t>
      </w:r>
    </w:p>
    <w:p w14:paraId="21CAB316" w14:textId="77777777" w:rsidR="00C04A7D" w:rsidRDefault="00C04A7D" w:rsidP="00C04A7D">
      <w:pPr>
        <w:pStyle w:val="Heading2"/>
      </w:pPr>
      <w:r>
        <w:t>Day</w:t>
      </w:r>
      <w:r>
        <w:rPr>
          <w:rFonts w:ascii="Cambria Math" w:hAnsi="Cambria Math"/>
        </w:rPr>
        <w:t>‐</w:t>
      </w:r>
      <w:r>
        <w:t>to</w:t>
      </w:r>
      <w:r>
        <w:rPr>
          <w:rFonts w:ascii="Cambria Math" w:hAnsi="Cambria Math"/>
        </w:rPr>
        <w:t>‐</w:t>
      </w:r>
      <w:r>
        <w:t>day investment decisions are delegated to the Chief Officer Resources, who will</w:t>
      </w:r>
      <w:r w:rsidRPr="001962D5">
        <w:t xml:space="preserve"> </w:t>
      </w:r>
      <w:r>
        <w:t>provide the Resources Committee with periodic reports on all aspects of treasury</w:t>
      </w:r>
      <w:r>
        <w:rPr>
          <w:spacing w:val="1"/>
        </w:rPr>
        <w:t xml:space="preserve"> </w:t>
      </w:r>
      <w:r>
        <w:t>management,</w:t>
      </w:r>
      <w:r>
        <w:rPr>
          <w:spacing w:val="1"/>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1"/>
        </w:rPr>
        <w:t xml:space="preserve"> </w:t>
      </w:r>
      <w:r>
        <w:t>to</w:t>
      </w:r>
      <w:r>
        <w:rPr>
          <w:spacing w:val="1"/>
        </w:rPr>
        <w:t xml:space="preserve"> </w:t>
      </w:r>
      <w:r>
        <w:t>cash</w:t>
      </w:r>
      <w:r>
        <w:rPr>
          <w:spacing w:val="1"/>
        </w:rPr>
        <w:t xml:space="preserve"> </w:t>
      </w:r>
      <w:r>
        <w:t>flow</w:t>
      </w:r>
      <w:r>
        <w:rPr>
          <w:spacing w:val="1"/>
        </w:rPr>
        <w:t xml:space="preserve"> </w:t>
      </w:r>
      <w:r>
        <w:t>forecasts.</w:t>
      </w:r>
      <w:r>
        <w:rPr>
          <w:spacing w:val="1"/>
        </w:rPr>
        <w:t xml:space="preserve"> </w:t>
      </w:r>
      <w:r>
        <w:t>The Chief</w:t>
      </w:r>
      <w:r>
        <w:rPr>
          <w:spacing w:val="1"/>
        </w:rPr>
        <w:t xml:space="preserve"> </w:t>
      </w:r>
      <w:r>
        <w:t>Officer</w:t>
      </w:r>
      <w:r>
        <w:rPr>
          <w:spacing w:val="1"/>
        </w:rPr>
        <w:t xml:space="preserve"> </w:t>
      </w:r>
      <w:r>
        <w:t>Resources and</w:t>
      </w:r>
      <w:r>
        <w:rPr>
          <w:spacing w:val="-13"/>
        </w:rPr>
        <w:t xml:space="preserve"> </w:t>
      </w:r>
      <w:r>
        <w:t>his</w:t>
      </w:r>
      <w:r>
        <w:rPr>
          <w:spacing w:val="-12"/>
        </w:rPr>
        <w:t xml:space="preserve"> </w:t>
      </w:r>
      <w:r>
        <w:t>nominees</w:t>
      </w:r>
      <w:r>
        <w:rPr>
          <w:spacing w:val="-13"/>
        </w:rPr>
        <w:t xml:space="preserve"> </w:t>
      </w:r>
      <w:r>
        <w:t>are</w:t>
      </w:r>
      <w:r>
        <w:rPr>
          <w:spacing w:val="-10"/>
        </w:rPr>
        <w:t xml:space="preserve"> </w:t>
      </w:r>
      <w:r>
        <w:t>authorised</w:t>
      </w:r>
      <w:r>
        <w:rPr>
          <w:spacing w:val="-12"/>
        </w:rPr>
        <w:t xml:space="preserve"> </w:t>
      </w:r>
      <w:r>
        <w:t>to</w:t>
      </w:r>
      <w:r>
        <w:rPr>
          <w:spacing w:val="-13"/>
        </w:rPr>
        <w:t xml:space="preserve"> </w:t>
      </w:r>
      <w:r>
        <w:t>make</w:t>
      </w:r>
      <w:r>
        <w:rPr>
          <w:spacing w:val="-12"/>
        </w:rPr>
        <w:t xml:space="preserve"> </w:t>
      </w:r>
      <w:r>
        <w:t>short</w:t>
      </w:r>
      <w:r>
        <w:rPr>
          <w:rFonts w:ascii="Cambria Math" w:hAnsi="Cambria Math"/>
        </w:rPr>
        <w:t>‐</w:t>
      </w:r>
      <w:r>
        <w:t>term</w:t>
      </w:r>
      <w:r>
        <w:rPr>
          <w:spacing w:val="-1"/>
        </w:rPr>
        <w:t xml:space="preserve"> </w:t>
      </w:r>
      <w:r>
        <w:t>investment decisions</w:t>
      </w:r>
      <w:r w:rsidRPr="00C140EA">
        <w:t xml:space="preserve"> </w:t>
      </w:r>
      <w:r>
        <w:t>in</w:t>
      </w:r>
      <w:r w:rsidRPr="00C140EA">
        <w:t xml:space="preserve"> </w:t>
      </w:r>
      <w:r>
        <w:t>line</w:t>
      </w:r>
      <w:r w:rsidRPr="00C140EA">
        <w:t xml:space="preserve"> </w:t>
      </w:r>
      <w:r>
        <w:t>with the</w:t>
      </w:r>
      <w:r>
        <w:rPr>
          <w:spacing w:val="-2"/>
        </w:rPr>
        <w:t xml:space="preserve"> </w:t>
      </w:r>
      <w:r>
        <w:t>Treasury</w:t>
      </w:r>
      <w:r>
        <w:rPr>
          <w:spacing w:val="-2"/>
        </w:rPr>
        <w:t xml:space="preserve"> </w:t>
      </w:r>
      <w:r>
        <w:t>Management</w:t>
      </w:r>
      <w:r>
        <w:rPr>
          <w:spacing w:val="-22"/>
        </w:rPr>
        <w:t xml:space="preserve"> </w:t>
      </w:r>
      <w:r>
        <w:t>Policy.</w:t>
      </w:r>
    </w:p>
    <w:p w14:paraId="78451EAB" w14:textId="77777777" w:rsidR="00C04A7D" w:rsidRDefault="00C04A7D" w:rsidP="00C04A7D">
      <w:pPr>
        <w:pStyle w:val="Heading3"/>
        <w:numPr>
          <w:ilvl w:val="0"/>
          <w:numId w:val="0"/>
        </w:numPr>
        <w:spacing w:before="0"/>
      </w:pPr>
    </w:p>
    <w:p w14:paraId="0EB6717F" w14:textId="77777777" w:rsidR="00C04A7D" w:rsidRDefault="00C04A7D" w:rsidP="00C04A7D">
      <w:pPr>
        <w:pStyle w:val="Heading1"/>
        <w:spacing w:before="0"/>
      </w:pPr>
      <w:bookmarkStart w:id="11" w:name="_Toc160554370"/>
      <w:bookmarkStart w:id="12" w:name="_Toc165364990"/>
      <w:r>
        <w:t>Related Policies and Procedures</w:t>
      </w:r>
      <w:bookmarkEnd w:id="11"/>
      <w:bookmarkEnd w:id="12"/>
    </w:p>
    <w:p w14:paraId="082CD3DB" w14:textId="77777777" w:rsidR="00C04A7D" w:rsidRDefault="00C04A7D" w:rsidP="00C04A7D">
      <w:pPr>
        <w:pStyle w:val="Heading2"/>
      </w:pPr>
      <w:r>
        <w:t>Anti Money Laundering Policy, Anti-Bribery Policy, Counter Fraud and Corruption Policy, Financial Regulations, Ethical Investment and Banking Policy.</w:t>
      </w:r>
    </w:p>
    <w:p w14:paraId="3AC82D4F" w14:textId="77777777" w:rsidR="00C04A7D" w:rsidRDefault="00C04A7D" w:rsidP="00C04A7D">
      <w:pPr>
        <w:pStyle w:val="Heading2"/>
      </w:pPr>
      <w:r>
        <w:lastRenderedPageBreak/>
        <w:t>Avoidance of Money Laundering</w:t>
      </w:r>
    </w:p>
    <w:p w14:paraId="2C7F04BF" w14:textId="77777777" w:rsidR="00C04A7D" w:rsidRDefault="00C04A7D" w:rsidP="00C04A7D">
      <w:pPr>
        <w:pStyle w:val="Heading3"/>
      </w:pPr>
      <w:r>
        <w:t>The</w:t>
      </w:r>
      <w:r>
        <w:rPr>
          <w:spacing w:val="-13"/>
        </w:rPr>
        <w:t xml:space="preserve"> </w:t>
      </w:r>
      <w:r>
        <w:t>University</w:t>
      </w:r>
      <w:r>
        <w:rPr>
          <w:spacing w:val="-14"/>
        </w:rPr>
        <w:t xml:space="preserve"> </w:t>
      </w:r>
      <w:r>
        <w:t>is</w:t>
      </w:r>
      <w:r>
        <w:rPr>
          <w:spacing w:val="-11"/>
        </w:rPr>
        <w:t xml:space="preserve"> </w:t>
      </w:r>
      <w:r>
        <w:t>alert</w:t>
      </w:r>
      <w:r>
        <w:rPr>
          <w:spacing w:val="-12"/>
        </w:rPr>
        <w:t xml:space="preserve"> </w:t>
      </w:r>
      <w:r>
        <w:t>to</w:t>
      </w:r>
      <w:r>
        <w:rPr>
          <w:spacing w:val="-14"/>
        </w:rPr>
        <w:t xml:space="preserve"> </w:t>
      </w:r>
      <w:r>
        <w:t>the</w:t>
      </w:r>
      <w:r>
        <w:rPr>
          <w:spacing w:val="-13"/>
        </w:rPr>
        <w:t xml:space="preserve"> </w:t>
      </w:r>
      <w:r>
        <w:t>possibility</w:t>
      </w:r>
      <w:r>
        <w:rPr>
          <w:spacing w:val="-14"/>
        </w:rPr>
        <w:t xml:space="preserve"> </w:t>
      </w:r>
      <w:r>
        <w:t>that</w:t>
      </w:r>
      <w:r>
        <w:rPr>
          <w:spacing w:val="-11"/>
        </w:rPr>
        <w:t xml:space="preserve"> </w:t>
      </w:r>
      <w:r>
        <w:t>it</w:t>
      </w:r>
      <w:r>
        <w:rPr>
          <w:spacing w:val="-14"/>
        </w:rPr>
        <w:t xml:space="preserve"> </w:t>
      </w:r>
      <w:r>
        <w:t>may</w:t>
      </w:r>
      <w:r>
        <w:rPr>
          <w:spacing w:val="-14"/>
        </w:rPr>
        <w:t xml:space="preserve"> </w:t>
      </w:r>
      <w:r>
        <w:t>become</w:t>
      </w:r>
      <w:r>
        <w:rPr>
          <w:spacing w:val="-12"/>
        </w:rPr>
        <w:t xml:space="preserve"> </w:t>
      </w:r>
      <w:r>
        <w:t>a</w:t>
      </w:r>
      <w:r>
        <w:rPr>
          <w:spacing w:val="-14"/>
        </w:rPr>
        <w:t xml:space="preserve"> </w:t>
      </w:r>
      <w:r>
        <w:t>target</w:t>
      </w:r>
      <w:r>
        <w:rPr>
          <w:spacing w:val="-14"/>
        </w:rPr>
        <w:t xml:space="preserve"> </w:t>
      </w:r>
      <w:r>
        <w:t>for</w:t>
      </w:r>
      <w:r>
        <w:rPr>
          <w:spacing w:val="-13"/>
        </w:rPr>
        <w:t xml:space="preserve"> </w:t>
      </w:r>
      <w:r>
        <w:t>money</w:t>
      </w:r>
      <w:r>
        <w:rPr>
          <w:spacing w:val="-15"/>
        </w:rPr>
        <w:t xml:space="preserve"> </w:t>
      </w:r>
      <w:r>
        <w:t>laundering.</w:t>
      </w:r>
      <w:r w:rsidRPr="00C140EA">
        <w:t xml:space="preserve"> Remittances of </w:t>
      </w:r>
      <w:r>
        <w:t>large</w:t>
      </w:r>
      <w:r w:rsidRPr="00C140EA">
        <w:t xml:space="preserve"> </w:t>
      </w:r>
      <w:r>
        <w:t>foreign</w:t>
      </w:r>
      <w:r w:rsidRPr="00C140EA">
        <w:t xml:space="preserve"> </w:t>
      </w:r>
      <w:r>
        <w:t>currency</w:t>
      </w:r>
      <w:r w:rsidRPr="00C140EA">
        <w:t xml:space="preserve"> </w:t>
      </w:r>
      <w:r>
        <w:t>payments,</w:t>
      </w:r>
      <w:r w:rsidRPr="00C140EA">
        <w:t xml:space="preserve"> </w:t>
      </w:r>
      <w:r>
        <w:t>in</w:t>
      </w:r>
      <w:r w:rsidRPr="00C140EA">
        <w:t xml:space="preserve"> </w:t>
      </w:r>
      <w:r>
        <w:t>particular</w:t>
      </w:r>
      <w:r w:rsidRPr="00C140EA">
        <w:t xml:space="preserve"> </w:t>
      </w:r>
      <w:r>
        <w:t>for</w:t>
      </w:r>
      <w:r w:rsidRPr="00C140EA">
        <w:t xml:space="preserve"> </w:t>
      </w:r>
      <w:r>
        <w:t>overseas</w:t>
      </w:r>
      <w:r w:rsidRPr="00C140EA">
        <w:t xml:space="preserve"> </w:t>
      </w:r>
      <w:r>
        <w:t>student</w:t>
      </w:r>
      <w:r w:rsidRPr="00C140EA">
        <w:t xml:space="preserve"> </w:t>
      </w:r>
      <w:r>
        <w:t>tuition</w:t>
      </w:r>
      <w:r>
        <w:rPr>
          <w:spacing w:val="-59"/>
        </w:rPr>
        <w:t xml:space="preserve"> </w:t>
      </w:r>
      <w:r>
        <w:t>fees,</w:t>
      </w:r>
      <w:r>
        <w:rPr>
          <w:spacing w:val="-2"/>
        </w:rPr>
        <w:t xml:space="preserve"> </w:t>
      </w:r>
      <w:r>
        <w:t>present</w:t>
      </w:r>
      <w:r>
        <w:rPr>
          <w:spacing w:val="-1"/>
        </w:rPr>
        <w:t xml:space="preserve"> </w:t>
      </w:r>
      <w:r>
        <w:t>a potential</w:t>
      </w:r>
      <w:r>
        <w:rPr>
          <w:spacing w:val="-3"/>
        </w:rPr>
        <w:t xml:space="preserve"> </w:t>
      </w:r>
      <w:r>
        <w:t>money</w:t>
      </w:r>
      <w:r>
        <w:rPr>
          <w:spacing w:val="-2"/>
        </w:rPr>
        <w:t xml:space="preserve"> </w:t>
      </w:r>
      <w:r>
        <w:t>laundering</w:t>
      </w:r>
      <w:r>
        <w:rPr>
          <w:spacing w:val="-3"/>
        </w:rPr>
        <w:t xml:space="preserve"> </w:t>
      </w:r>
      <w:r>
        <w:t>risk.</w:t>
      </w:r>
    </w:p>
    <w:p w14:paraId="1FE5CD15" w14:textId="77777777" w:rsidR="00C04A7D" w:rsidRDefault="00C04A7D" w:rsidP="00C04A7D">
      <w:pPr>
        <w:pStyle w:val="Heading3"/>
      </w:pPr>
      <w:r>
        <w:t>For</w:t>
      </w:r>
      <w:r>
        <w:rPr>
          <w:spacing w:val="1"/>
        </w:rPr>
        <w:t xml:space="preserve"> </w:t>
      </w:r>
      <w:r>
        <w:t>the</w:t>
      </w:r>
      <w:r>
        <w:rPr>
          <w:spacing w:val="1"/>
        </w:rPr>
        <w:t xml:space="preserve"> </w:t>
      </w:r>
      <w:r>
        <w:t>purposes</w:t>
      </w:r>
      <w:r>
        <w:rPr>
          <w:spacing w:val="1"/>
        </w:rPr>
        <w:t xml:space="preserve"> </w:t>
      </w:r>
      <w:r>
        <w:t>of</w:t>
      </w:r>
      <w:r>
        <w:rPr>
          <w:spacing w:val="1"/>
        </w:rPr>
        <w:t xml:space="preserve"> </w:t>
      </w:r>
      <w:r>
        <w:t>legislation</w:t>
      </w:r>
      <w:r>
        <w:rPr>
          <w:spacing w:val="1"/>
        </w:rPr>
        <w:t xml:space="preserve"> </w:t>
      </w:r>
      <w:r>
        <w:t>in</w:t>
      </w:r>
      <w:r>
        <w:rPr>
          <w:spacing w:val="1"/>
        </w:rPr>
        <w:t xml:space="preserve"> </w:t>
      </w:r>
      <w:r>
        <w:t>this</w:t>
      </w:r>
      <w:r>
        <w:rPr>
          <w:spacing w:val="1"/>
        </w:rPr>
        <w:t xml:space="preserve"> </w:t>
      </w:r>
      <w:r>
        <w:t>area</w:t>
      </w:r>
      <w:r>
        <w:rPr>
          <w:spacing w:val="1"/>
        </w:rPr>
        <w:t xml:space="preserve"> </w:t>
      </w:r>
      <w:r>
        <w:t>(in</w:t>
      </w:r>
      <w:r>
        <w:rPr>
          <w:spacing w:val="1"/>
        </w:rPr>
        <w:t xml:space="preserve"> </w:t>
      </w:r>
      <w:r>
        <w:t>particular,</w:t>
      </w:r>
      <w:r>
        <w:rPr>
          <w:spacing w:val="1"/>
        </w:rPr>
        <w:t xml:space="preserve"> </w:t>
      </w:r>
      <w:r>
        <w:t>the</w:t>
      </w:r>
      <w:r>
        <w:rPr>
          <w:spacing w:val="1"/>
        </w:rPr>
        <w:t xml:space="preserve"> </w:t>
      </w:r>
      <w:r>
        <w:t>Money</w:t>
      </w:r>
      <w:r>
        <w:rPr>
          <w:spacing w:val="1"/>
        </w:rPr>
        <w:t xml:space="preserve"> </w:t>
      </w:r>
      <w:r>
        <w:t>Laundering</w:t>
      </w:r>
      <w:r>
        <w:rPr>
          <w:spacing w:val="1"/>
        </w:rPr>
        <w:t xml:space="preserve"> </w:t>
      </w:r>
      <w:r>
        <w:t>Regulations 2007, the Terrorism Act 2002 and the Proceeds of Crime Act 2002) the</w:t>
      </w:r>
      <w:r>
        <w:rPr>
          <w:spacing w:val="1"/>
        </w:rPr>
        <w:t xml:space="preserve"> </w:t>
      </w:r>
      <w:r>
        <w:t>University is classed as a relevant body and, as such, has a responsibility to disclose</w:t>
      </w:r>
      <w:r>
        <w:rPr>
          <w:spacing w:val="1"/>
        </w:rPr>
        <w:t xml:space="preserve"> </w:t>
      </w:r>
      <w:r>
        <w:t>any</w:t>
      </w:r>
      <w:r>
        <w:rPr>
          <w:spacing w:val="-8"/>
        </w:rPr>
        <w:t xml:space="preserve"> </w:t>
      </w:r>
      <w:r>
        <w:t>suspicious</w:t>
      </w:r>
      <w:r>
        <w:rPr>
          <w:spacing w:val="-7"/>
        </w:rPr>
        <w:t xml:space="preserve"> </w:t>
      </w:r>
      <w:r>
        <w:t>financial</w:t>
      </w:r>
      <w:r>
        <w:rPr>
          <w:spacing w:val="-7"/>
        </w:rPr>
        <w:t xml:space="preserve"> </w:t>
      </w:r>
      <w:r>
        <w:t>transactions</w:t>
      </w:r>
      <w:r>
        <w:rPr>
          <w:spacing w:val="-10"/>
        </w:rPr>
        <w:t xml:space="preserve"> </w:t>
      </w:r>
      <w:r>
        <w:t>to</w:t>
      </w:r>
      <w:r>
        <w:rPr>
          <w:spacing w:val="-9"/>
        </w:rPr>
        <w:t xml:space="preserve"> </w:t>
      </w:r>
      <w:r>
        <w:t>the</w:t>
      </w:r>
      <w:r>
        <w:rPr>
          <w:spacing w:val="-9"/>
        </w:rPr>
        <w:t xml:space="preserve"> </w:t>
      </w:r>
      <w:r>
        <w:t>relevant</w:t>
      </w:r>
      <w:r>
        <w:rPr>
          <w:spacing w:val="-7"/>
        </w:rPr>
        <w:t xml:space="preserve"> </w:t>
      </w:r>
      <w:r>
        <w:t>authorities.</w:t>
      </w:r>
      <w:r>
        <w:rPr>
          <w:spacing w:val="-9"/>
        </w:rPr>
        <w:t xml:space="preserve"> </w:t>
      </w:r>
      <w:r>
        <w:t>This</w:t>
      </w:r>
      <w:r>
        <w:rPr>
          <w:spacing w:val="-8"/>
        </w:rPr>
        <w:t xml:space="preserve"> </w:t>
      </w:r>
      <w:r>
        <w:t>Policy</w:t>
      </w:r>
      <w:r>
        <w:rPr>
          <w:spacing w:val="-5"/>
        </w:rPr>
        <w:t xml:space="preserve"> </w:t>
      </w:r>
      <w:r>
        <w:t>ensures</w:t>
      </w:r>
      <w:r>
        <w:rPr>
          <w:spacing w:val="-9"/>
        </w:rPr>
        <w:t xml:space="preserve"> </w:t>
      </w:r>
      <w:r>
        <w:t xml:space="preserve">that </w:t>
      </w:r>
      <w:r>
        <w:rPr>
          <w:spacing w:val="-59"/>
        </w:rPr>
        <w:t xml:space="preserve"> </w:t>
      </w:r>
      <w:r>
        <w:rPr>
          <w:spacing w:val="-1"/>
        </w:rPr>
        <w:t>procedures</w:t>
      </w:r>
      <w:r>
        <w:rPr>
          <w:spacing w:val="-2"/>
        </w:rPr>
        <w:t xml:space="preserve"> </w:t>
      </w:r>
      <w:r>
        <w:t>are</w:t>
      </w:r>
      <w:r>
        <w:rPr>
          <w:spacing w:val="-2"/>
        </w:rPr>
        <w:t xml:space="preserve"> </w:t>
      </w:r>
      <w:r>
        <w:t>in place</w:t>
      </w:r>
      <w:r>
        <w:rPr>
          <w:spacing w:val="-2"/>
        </w:rPr>
        <w:t xml:space="preserve"> </w:t>
      </w:r>
      <w:r>
        <w:t>to satisfy</w:t>
      </w:r>
      <w:r>
        <w:rPr>
          <w:spacing w:val="-1"/>
        </w:rPr>
        <w:t xml:space="preserve"> </w:t>
      </w:r>
      <w:r>
        <w:t>our</w:t>
      </w:r>
      <w:r>
        <w:rPr>
          <w:spacing w:val="1"/>
        </w:rPr>
        <w:t xml:space="preserve"> </w:t>
      </w:r>
      <w:r>
        <w:t>obligations</w:t>
      </w:r>
      <w:r>
        <w:rPr>
          <w:spacing w:val="-4"/>
        </w:rPr>
        <w:t xml:space="preserve"> </w:t>
      </w:r>
      <w:r>
        <w:t>under</w:t>
      </w:r>
      <w:r>
        <w:rPr>
          <w:spacing w:val="-1"/>
        </w:rPr>
        <w:t xml:space="preserve"> </w:t>
      </w:r>
      <w:r>
        <w:t>the</w:t>
      </w:r>
      <w:r>
        <w:rPr>
          <w:spacing w:val="-21"/>
        </w:rPr>
        <w:t xml:space="preserve"> </w:t>
      </w:r>
      <w:r>
        <w:t>regulations.</w:t>
      </w:r>
    </w:p>
    <w:p w14:paraId="4DF97339" w14:textId="77777777" w:rsidR="00C04A7D" w:rsidRDefault="00C04A7D" w:rsidP="00C04A7D">
      <w:pPr>
        <w:pStyle w:val="Heading2"/>
      </w:pPr>
      <w:r>
        <w:t>Ethical Investment Policy</w:t>
      </w:r>
    </w:p>
    <w:p w14:paraId="75C62E51" w14:textId="77777777" w:rsidR="00C04A7D" w:rsidRPr="00290919" w:rsidRDefault="00C04A7D" w:rsidP="00C04A7D">
      <w:pPr>
        <w:pStyle w:val="Heading3"/>
      </w:pPr>
      <w:r>
        <w:t>The University is committed to ensuring that its investments and banking practices are</w:t>
      </w:r>
      <w:r>
        <w:rPr>
          <w:spacing w:val="1"/>
        </w:rPr>
        <w:t xml:space="preserve"> </w:t>
      </w:r>
      <w:r>
        <w:t>conducted transparently and in an economically viable, socially responsible manner and</w:t>
      </w:r>
      <w:r w:rsidRPr="00B0687B">
        <w:t xml:space="preserve"> in ways </w:t>
      </w:r>
      <w:r>
        <w:t>which</w:t>
      </w:r>
      <w:r>
        <w:rPr>
          <w:spacing w:val="-12"/>
        </w:rPr>
        <w:t xml:space="preserve"> </w:t>
      </w:r>
      <w:r>
        <w:t>are</w:t>
      </w:r>
      <w:r>
        <w:rPr>
          <w:spacing w:val="-12"/>
        </w:rPr>
        <w:t xml:space="preserve"> </w:t>
      </w:r>
      <w:r>
        <w:t>consistent</w:t>
      </w:r>
      <w:r>
        <w:rPr>
          <w:spacing w:val="-12"/>
        </w:rPr>
        <w:t xml:space="preserve"> </w:t>
      </w:r>
      <w:r>
        <w:t>with</w:t>
      </w:r>
      <w:r>
        <w:rPr>
          <w:spacing w:val="-12"/>
        </w:rPr>
        <w:t xml:space="preserve"> </w:t>
      </w:r>
      <w:r>
        <w:t>the</w:t>
      </w:r>
      <w:r>
        <w:rPr>
          <w:spacing w:val="-15"/>
        </w:rPr>
        <w:t xml:space="preserve"> </w:t>
      </w:r>
      <w:r>
        <w:t>mission</w:t>
      </w:r>
      <w:r>
        <w:rPr>
          <w:spacing w:val="-13"/>
        </w:rPr>
        <w:t xml:space="preserve"> </w:t>
      </w:r>
      <w:r>
        <w:t>and</w:t>
      </w:r>
      <w:r>
        <w:rPr>
          <w:spacing w:val="-15"/>
        </w:rPr>
        <w:t xml:space="preserve"> </w:t>
      </w:r>
      <w:r>
        <w:t>values</w:t>
      </w:r>
      <w:r>
        <w:rPr>
          <w:spacing w:val="-12"/>
        </w:rPr>
        <w:t xml:space="preserve"> </w:t>
      </w:r>
      <w:r>
        <w:t>of</w:t>
      </w:r>
      <w:r>
        <w:rPr>
          <w:spacing w:val="-12"/>
        </w:rPr>
        <w:t xml:space="preserve"> </w:t>
      </w:r>
      <w:r>
        <w:t>the</w:t>
      </w:r>
      <w:r>
        <w:rPr>
          <w:spacing w:val="-14"/>
        </w:rPr>
        <w:t xml:space="preserve"> </w:t>
      </w:r>
      <w:r>
        <w:t>University.</w:t>
      </w:r>
      <w:r>
        <w:rPr>
          <w:spacing w:val="38"/>
        </w:rPr>
        <w:t xml:space="preserve"> </w:t>
      </w:r>
      <w:r>
        <w:t>The</w:t>
      </w:r>
      <w:r w:rsidRPr="00B0687B">
        <w:t xml:space="preserve"> </w:t>
      </w:r>
      <w:r>
        <w:t>University</w:t>
      </w:r>
      <w:r w:rsidRPr="00B0687B">
        <w:t xml:space="preserve"> </w:t>
      </w:r>
      <w:r>
        <w:t>will strive to invest in companies where the activities of the company are, on ethical</w:t>
      </w:r>
      <w:r>
        <w:rPr>
          <w:spacing w:val="1"/>
        </w:rPr>
        <w:t xml:space="preserve"> </w:t>
      </w:r>
      <w:r>
        <w:rPr>
          <w:spacing w:val="-1"/>
        </w:rPr>
        <w:t>grounds,</w:t>
      </w:r>
      <w:r>
        <w:rPr>
          <w:spacing w:val="-14"/>
        </w:rPr>
        <w:t xml:space="preserve"> </w:t>
      </w:r>
      <w:r>
        <w:rPr>
          <w:spacing w:val="-1"/>
        </w:rPr>
        <w:t>consistent</w:t>
      </w:r>
      <w:r>
        <w:rPr>
          <w:spacing w:val="-14"/>
        </w:rPr>
        <w:t xml:space="preserve"> </w:t>
      </w:r>
      <w:r>
        <w:t>with</w:t>
      </w:r>
      <w:r>
        <w:rPr>
          <w:spacing w:val="-12"/>
        </w:rPr>
        <w:t xml:space="preserve"> </w:t>
      </w:r>
      <w:r>
        <w:t>the</w:t>
      </w:r>
      <w:r>
        <w:rPr>
          <w:spacing w:val="-13"/>
        </w:rPr>
        <w:t xml:space="preserve"> </w:t>
      </w:r>
      <w:r>
        <w:t>educational</w:t>
      </w:r>
      <w:r>
        <w:rPr>
          <w:spacing w:val="-14"/>
        </w:rPr>
        <w:t xml:space="preserve"> </w:t>
      </w:r>
      <w:r>
        <w:t>and/or</w:t>
      </w:r>
      <w:r>
        <w:rPr>
          <w:spacing w:val="-15"/>
        </w:rPr>
        <w:t xml:space="preserve"> </w:t>
      </w:r>
      <w:r>
        <w:t>research</w:t>
      </w:r>
      <w:r>
        <w:rPr>
          <w:spacing w:val="-12"/>
        </w:rPr>
        <w:t xml:space="preserve"> </w:t>
      </w:r>
      <w:r>
        <w:t>objectives</w:t>
      </w:r>
      <w:r>
        <w:rPr>
          <w:spacing w:val="-12"/>
        </w:rPr>
        <w:t xml:space="preserve"> </w:t>
      </w:r>
      <w:r>
        <w:t>of</w:t>
      </w:r>
      <w:r>
        <w:rPr>
          <w:spacing w:val="-11"/>
        </w:rPr>
        <w:t xml:space="preserve"> </w:t>
      </w:r>
      <w:r>
        <w:t>the</w:t>
      </w:r>
      <w:r>
        <w:rPr>
          <w:spacing w:val="-15"/>
        </w:rPr>
        <w:t xml:space="preserve"> </w:t>
      </w:r>
      <w:r>
        <w:t>University</w:t>
      </w:r>
      <w:r>
        <w:rPr>
          <w:spacing w:val="-14"/>
        </w:rPr>
        <w:t xml:space="preserve"> </w:t>
      </w:r>
      <w:r>
        <w:t xml:space="preserve">even </w:t>
      </w:r>
      <w:r>
        <w:rPr>
          <w:spacing w:val="-59"/>
        </w:rPr>
        <w:t xml:space="preserve"> </w:t>
      </w:r>
      <w:r>
        <w:t>though this may reduce returns. The University will also take into account the published</w:t>
      </w:r>
      <w:r>
        <w:rPr>
          <w:spacing w:val="1"/>
        </w:rPr>
        <w:t xml:space="preserve"> </w:t>
      </w:r>
      <w:r>
        <w:t>guidance of the Charity Commission on ethical and socially responsible investment of</w:t>
      </w:r>
      <w:r>
        <w:rPr>
          <w:spacing w:val="1"/>
        </w:rPr>
        <w:t xml:space="preserve"> </w:t>
      </w:r>
      <w:r>
        <w:t>charitable</w:t>
      </w:r>
      <w:r>
        <w:rPr>
          <w:spacing w:val="-3"/>
        </w:rPr>
        <w:t xml:space="preserve"> </w:t>
      </w:r>
      <w:r>
        <w:t>funds.</w:t>
      </w:r>
    </w:p>
    <w:p w14:paraId="4EEBC6BF" w14:textId="77777777" w:rsidR="00C04A7D" w:rsidRDefault="00C04A7D" w:rsidP="00C04A7D">
      <w:pPr>
        <w:pStyle w:val="Heading1"/>
      </w:pPr>
      <w:bookmarkStart w:id="13" w:name="_Toc160554371"/>
      <w:bookmarkStart w:id="14" w:name="_Toc165364991"/>
      <w:r>
        <w:t>Review and Approval</w:t>
      </w:r>
      <w:bookmarkEnd w:id="13"/>
      <w:bookmarkEnd w:id="14"/>
    </w:p>
    <w:p w14:paraId="463467D3" w14:textId="77777777" w:rsidR="00C04A7D" w:rsidRDefault="00C04A7D" w:rsidP="00C04A7D">
      <w:pPr>
        <w:pStyle w:val="Heading2"/>
      </w:pPr>
      <w:r>
        <w:t>The</w:t>
      </w:r>
      <w:r>
        <w:rPr>
          <w:spacing w:val="23"/>
        </w:rPr>
        <w:t xml:space="preserve"> </w:t>
      </w:r>
      <w:r>
        <w:t>Resources</w:t>
      </w:r>
      <w:r>
        <w:rPr>
          <w:spacing w:val="23"/>
        </w:rPr>
        <w:t xml:space="preserve"> </w:t>
      </w:r>
      <w:r>
        <w:t>Committee</w:t>
      </w:r>
      <w:r>
        <w:rPr>
          <w:spacing w:val="23"/>
        </w:rPr>
        <w:t xml:space="preserve"> </w:t>
      </w:r>
      <w:r>
        <w:t>is</w:t>
      </w:r>
      <w:r>
        <w:rPr>
          <w:spacing w:val="23"/>
        </w:rPr>
        <w:t xml:space="preserve"> </w:t>
      </w:r>
      <w:r>
        <w:t>responsible</w:t>
      </w:r>
      <w:r>
        <w:rPr>
          <w:spacing w:val="21"/>
        </w:rPr>
        <w:t xml:space="preserve"> </w:t>
      </w:r>
      <w:r>
        <w:t>for</w:t>
      </w:r>
      <w:r>
        <w:rPr>
          <w:spacing w:val="23"/>
        </w:rPr>
        <w:t xml:space="preserve"> </w:t>
      </w:r>
      <w:r>
        <w:t>the</w:t>
      </w:r>
      <w:r>
        <w:rPr>
          <w:spacing w:val="20"/>
        </w:rPr>
        <w:t xml:space="preserve"> </w:t>
      </w:r>
      <w:r>
        <w:t>periodic</w:t>
      </w:r>
      <w:r>
        <w:rPr>
          <w:spacing w:val="23"/>
        </w:rPr>
        <w:t xml:space="preserve"> </w:t>
      </w:r>
      <w:r>
        <w:t>review</w:t>
      </w:r>
      <w:r>
        <w:rPr>
          <w:spacing w:val="20"/>
        </w:rPr>
        <w:t xml:space="preserve"> </w:t>
      </w:r>
      <w:r>
        <w:t>and</w:t>
      </w:r>
      <w:r>
        <w:rPr>
          <w:spacing w:val="23"/>
        </w:rPr>
        <w:t xml:space="preserve"> </w:t>
      </w:r>
      <w:r>
        <w:t>approval</w:t>
      </w:r>
      <w:r>
        <w:rPr>
          <w:spacing w:val="23"/>
        </w:rPr>
        <w:t xml:space="preserve"> </w:t>
      </w:r>
      <w:r>
        <w:t>of</w:t>
      </w:r>
      <w:r>
        <w:rPr>
          <w:spacing w:val="24"/>
        </w:rPr>
        <w:t xml:space="preserve"> </w:t>
      </w:r>
      <w:r>
        <w:t>the</w:t>
      </w:r>
      <w:r>
        <w:rPr>
          <w:spacing w:val="-58"/>
        </w:rPr>
        <w:t xml:space="preserve"> </w:t>
      </w:r>
      <w:r>
        <w:rPr>
          <w:spacing w:val="-1"/>
        </w:rPr>
        <w:t>Treasury</w:t>
      </w:r>
      <w:r>
        <w:rPr>
          <w:spacing w:val="-15"/>
        </w:rPr>
        <w:t xml:space="preserve"> </w:t>
      </w:r>
      <w:r>
        <w:rPr>
          <w:spacing w:val="-1"/>
        </w:rPr>
        <w:t>Management</w:t>
      </w:r>
      <w:r>
        <w:rPr>
          <w:spacing w:val="-12"/>
        </w:rPr>
        <w:t xml:space="preserve"> </w:t>
      </w:r>
      <w:r>
        <w:t>Policy</w:t>
      </w:r>
      <w:r>
        <w:rPr>
          <w:spacing w:val="-11"/>
        </w:rPr>
        <w:t xml:space="preserve"> </w:t>
      </w:r>
      <w:r>
        <w:t>under</w:t>
      </w:r>
      <w:r>
        <w:rPr>
          <w:spacing w:val="1"/>
        </w:rPr>
        <w:t xml:space="preserve"> </w:t>
      </w:r>
      <w:r>
        <w:t>delegated authority</w:t>
      </w:r>
      <w:r>
        <w:rPr>
          <w:spacing w:val="-4"/>
        </w:rPr>
        <w:t xml:space="preserve"> </w:t>
      </w:r>
      <w:r>
        <w:t>from</w:t>
      </w:r>
      <w:r>
        <w:rPr>
          <w:spacing w:val="-1"/>
        </w:rPr>
        <w:t xml:space="preserve"> </w:t>
      </w:r>
      <w:r>
        <w:t>the</w:t>
      </w:r>
      <w:r>
        <w:rPr>
          <w:spacing w:val="-2"/>
        </w:rPr>
        <w:t xml:space="preserve"> </w:t>
      </w:r>
      <w:r>
        <w:t>Board</w:t>
      </w:r>
      <w:r>
        <w:rPr>
          <w:spacing w:val="-2"/>
        </w:rPr>
        <w:t xml:space="preserve"> </w:t>
      </w:r>
      <w:r>
        <w:t>of</w:t>
      </w:r>
      <w:r>
        <w:rPr>
          <w:spacing w:val="-1"/>
        </w:rPr>
        <w:t xml:space="preserve"> </w:t>
      </w:r>
      <w:r>
        <w:t>Governors.</w:t>
      </w:r>
    </w:p>
    <w:p w14:paraId="058DE4A3" w14:textId="77777777" w:rsidR="00D52B06" w:rsidRPr="00EC2C8F" w:rsidRDefault="00D52B06" w:rsidP="00EC2C8F">
      <w:pPr>
        <w:pStyle w:val="Heading2"/>
        <w:numPr>
          <w:ilvl w:val="0"/>
          <w:numId w:val="0"/>
        </w:numPr>
        <w:ind w:left="578" w:hanging="578"/>
      </w:pPr>
    </w:p>
    <w:sectPr w:rsidR="00D52B06" w:rsidRPr="00EC2C8F"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CD70" w14:textId="77777777" w:rsidR="000C1497" w:rsidRDefault="000C1497" w:rsidP="003B0CD4">
      <w:pPr>
        <w:spacing w:after="0" w:line="240" w:lineRule="auto"/>
      </w:pPr>
      <w:r>
        <w:separator/>
      </w:r>
    </w:p>
  </w:endnote>
  <w:endnote w:type="continuationSeparator" w:id="0">
    <w:p w14:paraId="67099334" w14:textId="77777777" w:rsidR="000C1497" w:rsidRDefault="000C1497"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0075" w14:textId="77777777" w:rsidR="000C1497" w:rsidRDefault="000C1497" w:rsidP="003B0CD4">
      <w:pPr>
        <w:spacing w:after="0" w:line="240" w:lineRule="auto"/>
      </w:pPr>
      <w:r>
        <w:separator/>
      </w:r>
    </w:p>
  </w:footnote>
  <w:footnote w:type="continuationSeparator" w:id="0">
    <w:p w14:paraId="512487DF" w14:textId="77777777" w:rsidR="000C1497" w:rsidRDefault="000C1497"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0"/>
  </w:num>
  <w:num w:numId="2" w16cid:durableId="424035414">
    <w:abstractNumId w:val="12"/>
  </w:num>
  <w:num w:numId="3" w16cid:durableId="180365439">
    <w:abstractNumId w:val="14"/>
  </w:num>
  <w:num w:numId="4" w16cid:durableId="1399089314">
    <w:abstractNumId w:val="17"/>
  </w:num>
  <w:num w:numId="5" w16cid:durableId="2000965655">
    <w:abstractNumId w:val="13"/>
  </w:num>
  <w:num w:numId="6" w16cid:durableId="70389579">
    <w:abstractNumId w:val="18"/>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6"/>
  </w:num>
  <w:num w:numId="19" w16cid:durableId="238637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19"/>
  </w:num>
  <w:num w:numId="21" w16cid:durableId="384989474">
    <w:abstractNumId w:val="11"/>
  </w:num>
  <w:num w:numId="22" w16cid:durableId="370810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C1497"/>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348E"/>
    <w:rsid w:val="001E54DD"/>
    <w:rsid w:val="00215570"/>
    <w:rsid w:val="00260329"/>
    <w:rsid w:val="00261178"/>
    <w:rsid w:val="00263057"/>
    <w:rsid w:val="00276D78"/>
    <w:rsid w:val="002F3B5B"/>
    <w:rsid w:val="00310A76"/>
    <w:rsid w:val="003205F6"/>
    <w:rsid w:val="0032264E"/>
    <w:rsid w:val="00351D20"/>
    <w:rsid w:val="003526E4"/>
    <w:rsid w:val="00367FE6"/>
    <w:rsid w:val="00376449"/>
    <w:rsid w:val="003A7850"/>
    <w:rsid w:val="003B0CD4"/>
    <w:rsid w:val="003C2126"/>
    <w:rsid w:val="003E6D68"/>
    <w:rsid w:val="004003B1"/>
    <w:rsid w:val="00406B6E"/>
    <w:rsid w:val="00424E11"/>
    <w:rsid w:val="00454793"/>
    <w:rsid w:val="004618C7"/>
    <w:rsid w:val="004734A0"/>
    <w:rsid w:val="004A0911"/>
    <w:rsid w:val="004B20D0"/>
    <w:rsid w:val="004D3778"/>
    <w:rsid w:val="004E6F06"/>
    <w:rsid w:val="004F3D8E"/>
    <w:rsid w:val="004F3E35"/>
    <w:rsid w:val="004F3F03"/>
    <w:rsid w:val="005005F9"/>
    <w:rsid w:val="005035F0"/>
    <w:rsid w:val="00530F92"/>
    <w:rsid w:val="00537AEA"/>
    <w:rsid w:val="00542772"/>
    <w:rsid w:val="0055051B"/>
    <w:rsid w:val="0056661F"/>
    <w:rsid w:val="00594A7A"/>
    <w:rsid w:val="005A5AD5"/>
    <w:rsid w:val="005C1286"/>
    <w:rsid w:val="005C6410"/>
    <w:rsid w:val="005D0B18"/>
    <w:rsid w:val="005D3DFB"/>
    <w:rsid w:val="005E6720"/>
    <w:rsid w:val="0060088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4A37"/>
    <w:rsid w:val="00734D37"/>
    <w:rsid w:val="0077217C"/>
    <w:rsid w:val="007905E2"/>
    <w:rsid w:val="007A0E66"/>
    <w:rsid w:val="007B456D"/>
    <w:rsid w:val="007D45FF"/>
    <w:rsid w:val="007F447E"/>
    <w:rsid w:val="00803D56"/>
    <w:rsid w:val="00815A26"/>
    <w:rsid w:val="00824DDD"/>
    <w:rsid w:val="00844206"/>
    <w:rsid w:val="008467C2"/>
    <w:rsid w:val="00854E81"/>
    <w:rsid w:val="008569CD"/>
    <w:rsid w:val="008627B3"/>
    <w:rsid w:val="00862D95"/>
    <w:rsid w:val="00866360"/>
    <w:rsid w:val="008741DB"/>
    <w:rsid w:val="0088599E"/>
    <w:rsid w:val="00897B7C"/>
    <w:rsid w:val="008C551C"/>
    <w:rsid w:val="008D23D2"/>
    <w:rsid w:val="00905E84"/>
    <w:rsid w:val="009359B4"/>
    <w:rsid w:val="00945CC4"/>
    <w:rsid w:val="00952ED2"/>
    <w:rsid w:val="00971EA6"/>
    <w:rsid w:val="00973B36"/>
    <w:rsid w:val="00973C73"/>
    <w:rsid w:val="0098001E"/>
    <w:rsid w:val="00993BF9"/>
    <w:rsid w:val="009A0637"/>
    <w:rsid w:val="009A3418"/>
    <w:rsid w:val="009C2331"/>
    <w:rsid w:val="009C26A5"/>
    <w:rsid w:val="009C7B96"/>
    <w:rsid w:val="009D2881"/>
    <w:rsid w:val="009D4EF7"/>
    <w:rsid w:val="00A05E79"/>
    <w:rsid w:val="00A10647"/>
    <w:rsid w:val="00A11DD3"/>
    <w:rsid w:val="00A17065"/>
    <w:rsid w:val="00A640A2"/>
    <w:rsid w:val="00A7691F"/>
    <w:rsid w:val="00AD1CA8"/>
    <w:rsid w:val="00AE3499"/>
    <w:rsid w:val="00AE3A65"/>
    <w:rsid w:val="00AE6583"/>
    <w:rsid w:val="00AE7CC3"/>
    <w:rsid w:val="00AF644B"/>
    <w:rsid w:val="00B04A83"/>
    <w:rsid w:val="00B05A36"/>
    <w:rsid w:val="00B0766D"/>
    <w:rsid w:val="00B1455D"/>
    <w:rsid w:val="00B3222D"/>
    <w:rsid w:val="00B36065"/>
    <w:rsid w:val="00B36605"/>
    <w:rsid w:val="00B528ED"/>
    <w:rsid w:val="00B54D4D"/>
    <w:rsid w:val="00B6307B"/>
    <w:rsid w:val="00B64E2E"/>
    <w:rsid w:val="00B65212"/>
    <w:rsid w:val="00B75892"/>
    <w:rsid w:val="00B82F2B"/>
    <w:rsid w:val="00B86E39"/>
    <w:rsid w:val="00BA6C69"/>
    <w:rsid w:val="00BB74FF"/>
    <w:rsid w:val="00BC77B0"/>
    <w:rsid w:val="00C04A7D"/>
    <w:rsid w:val="00C05B84"/>
    <w:rsid w:val="00C07B20"/>
    <w:rsid w:val="00C24D8F"/>
    <w:rsid w:val="00C30F00"/>
    <w:rsid w:val="00C341BE"/>
    <w:rsid w:val="00CA1500"/>
    <w:rsid w:val="00CA6EDB"/>
    <w:rsid w:val="00CB137C"/>
    <w:rsid w:val="00CB1F64"/>
    <w:rsid w:val="00CB5D44"/>
    <w:rsid w:val="00CD441C"/>
    <w:rsid w:val="00CD582A"/>
    <w:rsid w:val="00CE47D3"/>
    <w:rsid w:val="00CE608D"/>
    <w:rsid w:val="00D20601"/>
    <w:rsid w:val="00D20880"/>
    <w:rsid w:val="00D46E50"/>
    <w:rsid w:val="00D52B06"/>
    <w:rsid w:val="00D5591B"/>
    <w:rsid w:val="00D9301C"/>
    <w:rsid w:val="00D973DB"/>
    <w:rsid w:val="00DA05EE"/>
    <w:rsid w:val="00DE4000"/>
    <w:rsid w:val="00E212A3"/>
    <w:rsid w:val="00E374E4"/>
    <w:rsid w:val="00E53462"/>
    <w:rsid w:val="00E62C64"/>
    <w:rsid w:val="00E734C7"/>
    <w:rsid w:val="00E84FDC"/>
    <w:rsid w:val="00EA69F4"/>
    <w:rsid w:val="00EC2C8F"/>
    <w:rsid w:val="00ED02EC"/>
    <w:rsid w:val="00ED1374"/>
    <w:rsid w:val="00ED184E"/>
    <w:rsid w:val="00ED19D8"/>
    <w:rsid w:val="00ED6897"/>
    <w:rsid w:val="00EE23DF"/>
    <w:rsid w:val="00EF69B5"/>
    <w:rsid w:val="00F07112"/>
    <w:rsid w:val="00F20D28"/>
    <w:rsid w:val="00F314A6"/>
    <w:rsid w:val="00F31A84"/>
    <w:rsid w:val="00F705CF"/>
    <w:rsid w:val="00F74ABA"/>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2657322-6576-2272-3E0D-0A3C7461626C"/>
  </ds:schemaRefs>
</ds:datastoreItem>
</file>

<file path=customXml/itemProps4.xml><?xml version="1.0" encoding="utf-8"?>
<ds:datastoreItem xmlns:ds="http://schemas.openxmlformats.org/officeDocument/2006/customXml" ds:itemID="{6D538B80-4BE1-4447-AACD-A54819C6D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Morgan, Julie</cp:lastModifiedBy>
  <cp:revision>3</cp:revision>
  <dcterms:created xsi:type="dcterms:W3CDTF">2025-04-28T13:39:00Z</dcterms:created>
  <dcterms:modified xsi:type="dcterms:W3CDTF">2025-04-28T13:40:00Z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GrammarlyDocumentId">
    <vt:lpwstr>80dd1a33f41f8ae560697be3d9f16aeb5a36fee8d8e1436520935d6b64324b65</vt:lpwstr>
  </property>
</Properties>
</file>