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6961B0" w14:textId="5BDEA9D6" w:rsidR="007639FB" w:rsidRPr="00AB195A" w:rsidRDefault="002D7AF0" w:rsidP="00347206">
      <w:pPr>
        <w:pStyle w:val="Title"/>
      </w:pPr>
      <w:r w:rsidRPr="00AB195A">
        <w:t xml:space="preserve">Cardiff Metropolitan University </w:t>
      </w:r>
      <w:r w:rsidR="00856029">
        <w:t>Support M</w:t>
      </w:r>
      <w:r w:rsidR="007639FB" w:rsidRPr="00AB195A">
        <w:t>echanisms</w:t>
      </w:r>
    </w:p>
    <w:p w14:paraId="1F7FD8DD" w14:textId="06AF5168" w:rsidR="007639FB" w:rsidRDefault="007639FB" w:rsidP="006F343B">
      <w:pPr>
        <w:tabs>
          <w:tab w:val="num" w:pos="360"/>
        </w:tabs>
        <w:rPr>
          <w:rFonts w:cs="Arial"/>
          <w:b/>
          <w:bCs/>
        </w:rPr>
      </w:pPr>
    </w:p>
    <w:p w14:paraId="0ED2C253" w14:textId="3F926B91" w:rsidR="007639FB" w:rsidRPr="00347206" w:rsidRDefault="00347206" w:rsidP="006F343B">
      <w:pPr>
        <w:tabs>
          <w:tab w:val="num" w:pos="360"/>
        </w:tabs>
        <w:rPr>
          <w:rFonts w:cs="Arial"/>
          <w:b/>
          <w:bCs/>
          <w:color w:val="4472C4" w:themeColor="accent1"/>
          <w:sz w:val="28"/>
          <w:szCs w:val="28"/>
        </w:rPr>
      </w:pPr>
      <w:r>
        <w:rPr>
          <w:rFonts w:cs="Arial"/>
          <w:b/>
          <w:bCs/>
          <w:color w:val="4472C4" w:themeColor="accent1"/>
          <w:sz w:val="28"/>
          <w:szCs w:val="28"/>
        </w:rPr>
        <w:t>Sources of Advice and S</w:t>
      </w:r>
      <w:r w:rsidR="00A4355E" w:rsidRPr="00347206">
        <w:rPr>
          <w:rFonts w:cs="Arial"/>
          <w:b/>
          <w:bCs/>
          <w:color w:val="4472C4" w:themeColor="accent1"/>
          <w:sz w:val="28"/>
          <w:szCs w:val="28"/>
        </w:rPr>
        <w:t>upport</w:t>
      </w:r>
    </w:p>
    <w:p w14:paraId="2ABE019B" w14:textId="0D43ADA6" w:rsidR="002D7AF0" w:rsidRPr="00121B50" w:rsidRDefault="002D7AF0" w:rsidP="00347206">
      <w:pPr>
        <w:numPr>
          <w:ilvl w:val="0"/>
          <w:numId w:val="36"/>
        </w:numPr>
        <w:rPr>
          <w:b/>
          <w:bCs/>
        </w:rPr>
      </w:pPr>
      <w:r w:rsidRPr="00121B50">
        <w:rPr>
          <w:b/>
          <w:bCs/>
        </w:rPr>
        <w:t>Student Services Support</w:t>
      </w:r>
    </w:p>
    <w:p w14:paraId="5650630F" w14:textId="77777777" w:rsidR="002D7AF0" w:rsidRPr="00121B50" w:rsidRDefault="002D7AF0" w:rsidP="002D7AF0">
      <w:r w:rsidRPr="00121B50">
        <w:t xml:space="preserve">The health and wellbeing of our students is top priority and the University acknowledges that some students may need support with any period of disruption to student life. The Student Services team are available to offer wellbeing advice and support as well as offering a Chaplaincy service. Please see further information available from </w:t>
      </w:r>
      <w:hyperlink r:id="rId11" w:history="1">
        <w:r w:rsidRPr="00121B50">
          <w:rPr>
            <w:rStyle w:val="Hyperlink"/>
          </w:rPr>
          <w:t>Student Services.</w:t>
        </w:r>
      </w:hyperlink>
      <w:r w:rsidRPr="00121B50">
        <w:t xml:space="preserve"> </w:t>
      </w:r>
    </w:p>
    <w:p w14:paraId="2C2AAE44" w14:textId="77777777" w:rsidR="002D7AF0" w:rsidRPr="00121B50" w:rsidRDefault="002D7AF0" w:rsidP="00347206">
      <w:pPr>
        <w:numPr>
          <w:ilvl w:val="0"/>
          <w:numId w:val="36"/>
        </w:numPr>
        <w:rPr>
          <w:b/>
          <w:bCs/>
        </w:rPr>
      </w:pPr>
      <w:r w:rsidRPr="00121B50">
        <w:rPr>
          <w:b/>
          <w:bCs/>
        </w:rPr>
        <w:t>Students’ Union</w:t>
      </w:r>
    </w:p>
    <w:p w14:paraId="1BB6B81A" w14:textId="7E7BA11A" w:rsidR="00511DCA" w:rsidRDefault="002D7AF0" w:rsidP="002D7AF0">
      <w:r w:rsidRPr="00121B50">
        <w:t xml:space="preserve">The Students’ Union offers a free, independent and impartial </w:t>
      </w:r>
      <w:hyperlink r:id="rId12" w:history="1">
        <w:r w:rsidRPr="001143BE">
          <w:rPr>
            <w:rStyle w:val="Hyperlink"/>
          </w:rPr>
          <w:t>advice and support service</w:t>
        </w:r>
      </w:hyperlink>
      <w:r w:rsidR="00CB52EB">
        <w:t xml:space="preserve"> </w:t>
      </w:r>
      <w:r w:rsidR="001143BE">
        <w:t xml:space="preserve">relating to </w:t>
      </w:r>
      <w:r w:rsidRPr="00121B50">
        <w:t>a number of aspects</w:t>
      </w:r>
      <w:r w:rsidR="001143BE">
        <w:t xml:space="preserve"> of life at uni, including</w:t>
      </w:r>
      <w:r w:rsidR="001143BE" w:rsidRPr="001143BE">
        <w:t xml:space="preserve"> </w:t>
      </w:r>
      <w:r w:rsidR="001143BE" w:rsidRPr="00121B50">
        <w:t>University processes and procedures</w:t>
      </w:r>
      <w:r w:rsidRPr="00121B50">
        <w:t xml:space="preserve">. </w:t>
      </w:r>
      <w:r w:rsidR="001143BE">
        <w:t>The SU</w:t>
      </w:r>
      <w:r w:rsidR="001143BE" w:rsidRPr="00121B50">
        <w:t xml:space="preserve"> </w:t>
      </w:r>
      <w:r w:rsidRPr="00121B50">
        <w:t xml:space="preserve">aim to ensure that students are signposted to the best place to seek additional support and are fully informed of their options. </w:t>
      </w:r>
    </w:p>
    <w:p w14:paraId="63EF3D45" w14:textId="16892987" w:rsidR="00511DCA" w:rsidRPr="00347206" w:rsidRDefault="00033EC4" w:rsidP="00347206">
      <w:pPr>
        <w:pStyle w:val="ListParagraph"/>
        <w:numPr>
          <w:ilvl w:val="0"/>
          <w:numId w:val="36"/>
        </w:numPr>
        <w:rPr>
          <w:b/>
        </w:rPr>
      </w:pPr>
      <w:r w:rsidRPr="00347206">
        <w:rPr>
          <w:b/>
        </w:rPr>
        <w:t>Tutors</w:t>
      </w:r>
    </w:p>
    <w:p w14:paraId="3D707EB4" w14:textId="6CABAA15" w:rsidR="00033EC4" w:rsidRDefault="00033EC4" w:rsidP="002D7AF0">
      <w:r>
        <w:t>If you need advice you can always contact your personal tutor, or for academic guidance you could also contact your Year Tutor or Programme Director who should be able to meet with you to discuss any issues and point you in the direction of further support, if necessary.</w:t>
      </w:r>
    </w:p>
    <w:p w14:paraId="44875973" w14:textId="77777777" w:rsidR="00347206" w:rsidRDefault="00347206" w:rsidP="00A4355E">
      <w:pPr>
        <w:tabs>
          <w:tab w:val="num" w:pos="360"/>
        </w:tabs>
        <w:rPr>
          <w:rFonts w:cs="Arial"/>
          <w:b/>
          <w:bCs/>
          <w:sz w:val="28"/>
          <w:szCs w:val="28"/>
        </w:rPr>
      </w:pPr>
    </w:p>
    <w:p w14:paraId="295AF918" w14:textId="0A14843C" w:rsidR="007639FB" w:rsidRPr="00347206" w:rsidRDefault="00CB52EB" w:rsidP="00A4355E">
      <w:pPr>
        <w:tabs>
          <w:tab w:val="num" w:pos="360"/>
        </w:tabs>
        <w:rPr>
          <w:rFonts w:cs="Arial"/>
          <w:b/>
          <w:bCs/>
          <w:color w:val="4472C4" w:themeColor="accent1"/>
          <w:sz w:val="28"/>
          <w:szCs w:val="28"/>
        </w:rPr>
      </w:pPr>
      <w:r w:rsidRPr="00347206">
        <w:rPr>
          <w:rFonts w:cs="Arial"/>
          <w:b/>
          <w:bCs/>
          <w:color w:val="4472C4" w:themeColor="accent1"/>
          <w:sz w:val="28"/>
          <w:szCs w:val="28"/>
        </w:rPr>
        <w:t xml:space="preserve">Provisions within the </w:t>
      </w:r>
      <w:r w:rsidR="00347206">
        <w:rPr>
          <w:rFonts w:cs="Arial"/>
          <w:b/>
          <w:bCs/>
          <w:color w:val="4472C4" w:themeColor="accent1"/>
          <w:sz w:val="28"/>
          <w:szCs w:val="28"/>
        </w:rPr>
        <w:t>A</w:t>
      </w:r>
      <w:r w:rsidR="00A22BC1" w:rsidRPr="00347206">
        <w:rPr>
          <w:rFonts w:cs="Arial"/>
          <w:b/>
          <w:bCs/>
          <w:color w:val="4472C4" w:themeColor="accent1"/>
          <w:sz w:val="28"/>
          <w:szCs w:val="28"/>
        </w:rPr>
        <w:t xml:space="preserve">cademic </w:t>
      </w:r>
      <w:r w:rsidR="00347206">
        <w:rPr>
          <w:rFonts w:cs="Arial"/>
          <w:b/>
          <w:bCs/>
          <w:color w:val="4472C4" w:themeColor="accent1"/>
          <w:sz w:val="28"/>
          <w:szCs w:val="28"/>
        </w:rPr>
        <w:t>R</w:t>
      </w:r>
      <w:r w:rsidR="00A22BC1" w:rsidRPr="00347206">
        <w:rPr>
          <w:rFonts w:cs="Arial"/>
          <w:b/>
          <w:bCs/>
          <w:color w:val="4472C4" w:themeColor="accent1"/>
          <w:sz w:val="28"/>
          <w:szCs w:val="28"/>
        </w:rPr>
        <w:t xml:space="preserve">egulations </w:t>
      </w:r>
      <w:r w:rsidR="00347206">
        <w:rPr>
          <w:rFonts w:cs="Arial"/>
          <w:b/>
          <w:bCs/>
          <w:color w:val="4472C4" w:themeColor="accent1"/>
          <w:sz w:val="28"/>
          <w:szCs w:val="28"/>
        </w:rPr>
        <w:t>W</w:t>
      </w:r>
      <w:r w:rsidRPr="00347206">
        <w:rPr>
          <w:rFonts w:cs="Arial"/>
          <w:b/>
          <w:bCs/>
          <w:color w:val="4472C4" w:themeColor="accent1"/>
          <w:sz w:val="28"/>
          <w:szCs w:val="28"/>
        </w:rPr>
        <w:t>h</w:t>
      </w:r>
      <w:r w:rsidR="00347206">
        <w:rPr>
          <w:rFonts w:cs="Arial"/>
          <w:b/>
          <w:bCs/>
          <w:color w:val="4472C4" w:themeColor="accent1"/>
          <w:sz w:val="28"/>
          <w:szCs w:val="28"/>
        </w:rPr>
        <w:t>ich Can P</w:t>
      </w:r>
      <w:r w:rsidRPr="00347206">
        <w:rPr>
          <w:rFonts w:cs="Arial"/>
          <w:b/>
          <w:bCs/>
          <w:color w:val="4472C4" w:themeColor="accent1"/>
          <w:sz w:val="28"/>
          <w:szCs w:val="28"/>
        </w:rPr>
        <w:t>otentially</w:t>
      </w:r>
      <w:r w:rsidR="00347206">
        <w:rPr>
          <w:rFonts w:cs="Arial"/>
          <w:b/>
          <w:bCs/>
          <w:color w:val="4472C4" w:themeColor="accent1"/>
          <w:sz w:val="28"/>
          <w:szCs w:val="28"/>
        </w:rPr>
        <w:t xml:space="preserve"> H</w:t>
      </w:r>
      <w:r w:rsidRPr="00347206">
        <w:rPr>
          <w:rFonts w:cs="Arial"/>
          <w:b/>
          <w:bCs/>
          <w:color w:val="4472C4" w:themeColor="accent1"/>
          <w:sz w:val="28"/>
          <w:szCs w:val="28"/>
        </w:rPr>
        <w:t>elp</w:t>
      </w:r>
      <w:r w:rsidR="00347206">
        <w:rPr>
          <w:rFonts w:cs="Arial"/>
          <w:b/>
          <w:bCs/>
          <w:color w:val="4472C4" w:themeColor="accent1"/>
          <w:sz w:val="28"/>
          <w:szCs w:val="28"/>
        </w:rPr>
        <w:t xml:space="preserve"> S</w:t>
      </w:r>
      <w:r w:rsidR="00AB195A" w:rsidRPr="00347206">
        <w:rPr>
          <w:rFonts w:cs="Arial"/>
          <w:b/>
          <w:bCs/>
          <w:color w:val="4472C4" w:themeColor="accent1"/>
          <w:sz w:val="28"/>
          <w:szCs w:val="28"/>
        </w:rPr>
        <w:t xml:space="preserve">tudents </w:t>
      </w:r>
      <w:r w:rsidR="00347206">
        <w:rPr>
          <w:rFonts w:cs="Arial"/>
          <w:b/>
          <w:bCs/>
          <w:color w:val="4472C4" w:themeColor="accent1"/>
          <w:sz w:val="28"/>
          <w:szCs w:val="28"/>
        </w:rPr>
        <w:t>W</w:t>
      </w:r>
      <w:r w:rsidR="00AB195A" w:rsidRPr="00347206">
        <w:rPr>
          <w:rFonts w:cs="Arial"/>
          <w:b/>
          <w:bCs/>
          <w:color w:val="4472C4" w:themeColor="accent1"/>
          <w:sz w:val="28"/>
          <w:szCs w:val="28"/>
        </w:rPr>
        <w:t xml:space="preserve">hose </w:t>
      </w:r>
      <w:r w:rsidR="00347206">
        <w:rPr>
          <w:rFonts w:cs="Arial"/>
          <w:b/>
          <w:bCs/>
          <w:color w:val="4472C4" w:themeColor="accent1"/>
          <w:sz w:val="28"/>
          <w:szCs w:val="28"/>
        </w:rPr>
        <w:t>S</w:t>
      </w:r>
      <w:r w:rsidR="00AB195A" w:rsidRPr="00347206">
        <w:rPr>
          <w:rFonts w:cs="Arial"/>
          <w:b/>
          <w:bCs/>
          <w:color w:val="4472C4" w:themeColor="accent1"/>
          <w:sz w:val="28"/>
          <w:szCs w:val="28"/>
        </w:rPr>
        <w:t xml:space="preserve">tudies </w:t>
      </w:r>
      <w:r w:rsidR="00347206">
        <w:rPr>
          <w:rFonts w:cs="Arial"/>
          <w:b/>
          <w:bCs/>
          <w:color w:val="4472C4" w:themeColor="accent1"/>
          <w:sz w:val="28"/>
          <w:szCs w:val="28"/>
        </w:rPr>
        <w:t>M</w:t>
      </w:r>
      <w:r w:rsidR="00AB195A" w:rsidRPr="00347206">
        <w:rPr>
          <w:rFonts w:cs="Arial"/>
          <w:b/>
          <w:bCs/>
          <w:color w:val="4472C4" w:themeColor="accent1"/>
          <w:sz w:val="28"/>
          <w:szCs w:val="28"/>
        </w:rPr>
        <w:t xml:space="preserve">ay </w:t>
      </w:r>
      <w:r w:rsidR="00347206">
        <w:rPr>
          <w:rFonts w:cs="Arial"/>
          <w:b/>
          <w:bCs/>
          <w:color w:val="4472C4" w:themeColor="accent1"/>
          <w:sz w:val="28"/>
          <w:szCs w:val="28"/>
        </w:rPr>
        <w:t>H</w:t>
      </w:r>
      <w:r w:rsidR="00AB195A" w:rsidRPr="00347206">
        <w:rPr>
          <w:rFonts w:cs="Arial"/>
          <w:b/>
          <w:bCs/>
          <w:color w:val="4472C4" w:themeColor="accent1"/>
          <w:sz w:val="28"/>
          <w:szCs w:val="28"/>
        </w:rPr>
        <w:t xml:space="preserve">ave </w:t>
      </w:r>
      <w:r w:rsidR="00347206">
        <w:rPr>
          <w:rFonts w:cs="Arial"/>
          <w:b/>
          <w:bCs/>
          <w:color w:val="4472C4" w:themeColor="accent1"/>
          <w:sz w:val="28"/>
          <w:szCs w:val="28"/>
        </w:rPr>
        <w:t>B</w:t>
      </w:r>
      <w:r w:rsidR="00AB195A" w:rsidRPr="00347206">
        <w:rPr>
          <w:rFonts w:cs="Arial"/>
          <w:b/>
          <w:bCs/>
          <w:color w:val="4472C4" w:themeColor="accent1"/>
          <w:sz w:val="28"/>
          <w:szCs w:val="28"/>
        </w:rPr>
        <w:t>een</w:t>
      </w:r>
      <w:r w:rsidR="00347206">
        <w:rPr>
          <w:rFonts w:cs="Arial"/>
          <w:b/>
          <w:bCs/>
          <w:color w:val="4472C4" w:themeColor="accent1"/>
          <w:sz w:val="28"/>
          <w:szCs w:val="28"/>
        </w:rPr>
        <w:t xml:space="preserve"> D</w:t>
      </w:r>
      <w:r w:rsidR="00AB195A" w:rsidRPr="00347206">
        <w:rPr>
          <w:rFonts w:cs="Arial"/>
          <w:b/>
          <w:bCs/>
          <w:color w:val="4472C4" w:themeColor="accent1"/>
          <w:sz w:val="28"/>
          <w:szCs w:val="28"/>
        </w:rPr>
        <w:t>isrupted</w:t>
      </w:r>
    </w:p>
    <w:p w14:paraId="4FFA83B3" w14:textId="77777777" w:rsidR="00347206" w:rsidRDefault="00CB52EB" w:rsidP="00347206">
      <w:pPr>
        <w:numPr>
          <w:ilvl w:val="0"/>
          <w:numId w:val="36"/>
        </w:numPr>
        <w:rPr>
          <w:b/>
          <w:bCs/>
        </w:rPr>
      </w:pPr>
      <w:r w:rsidRPr="00121B50">
        <w:rPr>
          <w:b/>
          <w:bCs/>
        </w:rPr>
        <w:t>Mitigating Circumstances</w:t>
      </w:r>
    </w:p>
    <w:p w14:paraId="59DD2959" w14:textId="77777777" w:rsidR="00347206" w:rsidRPr="00347206" w:rsidRDefault="00347206" w:rsidP="00CB52EB">
      <w:pPr>
        <w:rPr>
          <w:u w:val="single"/>
        </w:rPr>
      </w:pPr>
      <w:r w:rsidRPr="00347206">
        <w:rPr>
          <w:u w:val="single"/>
        </w:rPr>
        <w:t>Students not able to complete a scheduled assessment</w:t>
      </w:r>
    </w:p>
    <w:p w14:paraId="0A4BD088" w14:textId="245E89E7" w:rsidR="00CB52EB" w:rsidRDefault="00CB52EB" w:rsidP="00CB52EB">
      <w:r w:rsidRPr="00121B50">
        <w:t xml:space="preserve">The </w:t>
      </w:r>
      <w:hyperlink r:id="rId13" w:history="1">
        <w:r w:rsidRPr="00856029">
          <w:rPr>
            <w:rStyle w:val="Hyperlink"/>
          </w:rPr>
          <w:t>Mitigating Circumstances Procedure</w:t>
        </w:r>
      </w:hyperlink>
      <w:r w:rsidRPr="00121B50">
        <w:t xml:space="preserve"> is available to all students </w:t>
      </w:r>
      <w:r>
        <w:t xml:space="preserve">who experience a significant and unexpected change to their circumstances which affects their ability to complete an assessment as scheduled. </w:t>
      </w:r>
    </w:p>
    <w:p w14:paraId="2069B257" w14:textId="77777777" w:rsidR="00347206" w:rsidRDefault="00CB52EB" w:rsidP="00347206">
      <w:r>
        <w:t>Students who claim successfully may receive an extension to a deadline or, if an assessment has been missed, they will not lose an attempt number (if it was for a first attempt, this means the reassessment will not be capped). Claims require supporting evidence (details within the MC procedure) and are submitted online. Students should contact their school admin office for assistance if necessary.</w:t>
      </w:r>
    </w:p>
    <w:p w14:paraId="6B817EBD" w14:textId="19C11C5C" w:rsidR="00CB52EB" w:rsidRPr="00347206" w:rsidRDefault="00CB52EB" w:rsidP="00347206">
      <w:pPr>
        <w:rPr>
          <w:u w:val="single"/>
        </w:rPr>
      </w:pPr>
      <w:r w:rsidRPr="00347206">
        <w:rPr>
          <w:u w:val="single"/>
        </w:rPr>
        <w:t>Students requiring an extension</w:t>
      </w:r>
    </w:p>
    <w:p w14:paraId="3BA77AD9" w14:textId="754B9716" w:rsidR="002D7AF0" w:rsidRDefault="00F04AF2" w:rsidP="00CB52EB">
      <w:r>
        <w:t>Up to twice per academic year</w:t>
      </w:r>
      <w:r w:rsidR="00033EC4">
        <w:t>,</w:t>
      </w:r>
      <w:r w:rsidR="002D7AF0" w:rsidRPr="00121B50">
        <w:t xml:space="preserve"> all students are eligible to apply for a </w:t>
      </w:r>
      <w:r w:rsidR="006112BA">
        <w:t>f</w:t>
      </w:r>
      <w:r>
        <w:t>ive</w:t>
      </w:r>
      <w:r w:rsidR="002D7AF0" w:rsidRPr="00121B50">
        <w:t xml:space="preserve">-working day </w:t>
      </w:r>
      <w:r w:rsidR="00CB52EB" w:rsidRPr="00CB52EB">
        <w:rPr>
          <w:b/>
        </w:rPr>
        <w:t>Self-Certified E</w:t>
      </w:r>
      <w:r w:rsidR="002D7AF0" w:rsidRPr="00CB52EB">
        <w:rPr>
          <w:b/>
        </w:rPr>
        <w:t>xtension</w:t>
      </w:r>
      <w:r w:rsidR="002D7AF0" w:rsidRPr="00121B50">
        <w:t xml:space="preserve"> to their assessment deadline. This may be for any </w:t>
      </w:r>
      <w:r w:rsidR="002D7AF0" w:rsidRPr="00121B50">
        <w:lastRenderedPageBreak/>
        <w:t xml:space="preserve">reason, and without the need to provide evidence (conditions apply). </w:t>
      </w:r>
      <w:r w:rsidR="00CB52EB">
        <w:t xml:space="preserve">Students who have already used their two self-certified extensions can submit a claim for MC (see above), if appropriate. </w:t>
      </w:r>
      <w:r w:rsidR="002D7AF0" w:rsidRPr="00121B50">
        <w:t xml:space="preserve">Further </w:t>
      </w:r>
      <w:r w:rsidR="00856029">
        <w:t>details</w:t>
      </w:r>
      <w:r w:rsidR="002D7AF0" w:rsidRPr="00121B50">
        <w:t xml:space="preserve"> can be found within the</w:t>
      </w:r>
      <w:r w:rsidR="00856029">
        <w:t xml:space="preserve"> Mitigating Circumstances procedure in the</w:t>
      </w:r>
      <w:r w:rsidR="002D7AF0" w:rsidRPr="00121B50">
        <w:t xml:space="preserve"> </w:t>
      </w:r>
      <w:hyperlink r:id="rId14" w:history="1">
        <w:r w:rsidR="002D7AF0" w:rsidRPr="00856029">
          <w:rPr>
            <w:rStyle w:val="Hyperlink"/>
          </w:rPr>
          <w:t>Academic Handbook</w:t>
        </w:r>
      </w:hyperlink>
      <w:r w:rsidR="002D7AF0" w:rsidRPr="00121B50">
        <w:t xml:space="preserve">. </w:t>
      </w:r>
    </w:p>
    <w:p w14:paraId="6FF00A92" w14:textId="77777777" w:rsidR="00347206" w:rsidRDefault="00347206" w:rsidP="00CB52EB"/>
    <w:p w14:paraId="7649AB2C" w14:textId="77777777" w:rsidR="002D7AF0" w:rsidRPr="00121B50" w:rsidRDefault="002D7AF0" w:rsidP="00347206">
      <w:pPr>
        <w:numPr>
          <w:ilvl w:val="0"/>
          <w:numId w:val="36"/>
        </w:numPr>
        <w:rPr>
          <w:b/>
          <w:bCs/>
        </w:rPr>
      </w:pPr>
      <w:r w:rsidRPr="00121B50">
        <w:rPr>
          <w:b/>
          <w:bCs/>
        </w:rPr>
        <w:t>Borderlines</w:t>
      </w:r>
    </w:p>
    <w:p w14:paraId="0338A881" w14:textId="1CFD2F46" w:rsidR="002D7AF0" w:rsidRPr="00121B50" w:rsidRDefault="00511DCA" w:rsidP="002D7AF0">
      <w:r>
        <w:t xml:space="preserve">In certain cases, </w:t>
      </w:r>
      <w:r w:rsidR="002D7AF0" w:rsidRPr="00121B50">
        <w:t xml:space="preserve">Exam Boards </w:t>
      </w:r>
      <w:r>
        <w:t xml:space="preserve">can </w:t>
      </w:r>
      <w:r w:rsidR="002D7AF0" w:rsidRPr="00121B50">
        <w:t>award one classification higher than that determined by the normal method of calculation for students on a borderline between two classifications. These regulations apply to all levels of undergraduate and postgraduate taught awards.</w:t>
      </w:r>
    </w:p>
    <w:p w14:paraId="2FA51789" w14:textId="77777777" w:rsidR="002D7AF0" w:rsidRPr="00121B50" w:rsidRDefault="002D7AF0" w:rsidP="002D7AF0">
      <w:r w:rsidRPr="00121B50">
        <w:t>The circumstances in which this may be applied are:</w:t>
      </w:r>
    </w:p>
    <w:p w14:paraId="2C17F573" w14:textId="77777777" w:rsidR="00CB52EB" w:rsidRPr="00A87285" w:rsidRDefault="00CB52EB" w:rsidP="00CB52EB">
      <w:pPr>
        <w:pStyle w:val="ListParagraph"/>
        <w:numPr>
          <w:ilvl w:val="0"/>
          <w:numId w:val="29"/>
        </w:numPr>
        <w:rPr>
          <w:u w:val="single"/>
        </w:rPr>
      </w:pPr>
      <w:r w:rsidRPr="00A87285">
        <w:rPr>
          <w:u w:val="single"/>
        </w:rPr>
        <w:t>Overall mark within 1% of the higher classification</w:t>
      </w:r>
    </w:p>
    <w:p w14:paraId="6B849EDD" w14:textId="32DAACE6" w:rsidR="002D7AF0" w:rsidRPr="00121B50" w:rsidRDefault="002D7AF0" w:rsidP="00CB52EB">
      <w:pPr>
        <w:ind w:left="720"/>
      </w:pPr>
      <w:r w:rsidRPr="00121B50">
        <w:t xml:space="preserve">Where the student’s final overall mark is </w:t>
      </w:r>
      <w:r w:rsidR="00EB1A15">
        <w:t xml:space="preserve">within </w:t>
      </w:r>
      <w:r w:rsidRPr="00121B50">
        <w:t xml:space="preserve">1.0% </w:t>
      </w:r>
      <w:r w:rsidR="00EB1A15">
        <w:t xml:space="preserve">of </w:t>
      </w:r>
      <w:r w:rsidRPr="00121B50">
        <w:t>the higher classification (for example, a final overall mark between 69.0% – 69.9% would become a First).</w:t>
      </w:r>
    </w:p>
    <w:p w14:paraId="025EB0E1" w14:textId="678633DE" w:rsidR="00A87285" w:rsidRPr="00A87285" w:rsidRDefault="00A87285" w:rsidP="002D7AF0">
      <w:pPr>
        <w:numPr>
          <w:ilvl w:val="0"/>
          <w:numId w:val="29"/>
        </w:numPr>
        <w:rPr>
          <w:u w:val="single"/>
        </w:rPr>
      </w:pPr>
      <w:r w:rsidRPr="00A87285">
        <w:rPr>
          <w:u w:val="single"/>
        </w:rPr>
        <w:t>Overall mark within 2% of the higher classification</w:t>
      </w:r>
    </w:p>
    <w:p w14:paraId="59CF68B0" w14:textId="1276AD64" w:rsidR="002D7AF0" w:rsidRPr="00121B50" w:rsidRDefault="002D7AF0" w:rsidP="00A87285">
      <w:pPr>
        <w:ind w:left="720"/>
      </w:pPr>
      <w:r w:rsidRPr="00121B50">
        <w:t xml:space="preserve">Where the student’s final overall mark is </w:t>
      </w:r>
      <w:r w:rsidR="00AD043C">
        <w:t xml:space="preserve">within </w:t>
      </w:r>
      <w:r w:rsidRPr="00121B50">
        <w:t xml:space="preserve">2.0% </w:t>
      </w:r>
      <w:r w:rsidR="00AD043C">
        <w:t xml:space="preserve">of </w:t>
      </w:r>
      <w:r w:rsidRPr="00121B50">
        <w:t xml:space="preserve">the higher classification (for example, a final overall mark between 58.0% – 58.9% </w:t>
      </w:r>
      <w:r w:rsidR="00AD043C">
        <w:t xml:space="preserve">may </w:t>
      </w:r>
      <w:r w:rsidRPr="00121B50">
        <w:t xml:space="preserve">become </w:t>
      </w:r>
      <w:r w:rsidR="00AD043C">
        <w:t>a 2:1</w:t>
      </w:r>
      <w:r w:rsidRPr="00121B50">
        <w:t xml:space="preserve">) </w:t>
      </w:r>
      <w:r w:rsidR="00511DCA" w:rsidRPr="00347206">
        <w:rPr>
          <w:b/>
          <w:u w:val="single"/>
        </w:rPr>
        <w:t>and</w:t>
      </w:r>
      <w:r w:rsidR="00511DCA">
        <w:t xml:space="preserve"> </w:t>
      </w:r>
      <w:r w:rsidR="00AD043C">
        <w:t xml:space="preserve">at least </w:t>
      </w:r>
      <w:r w:rsidRPr="00121B50">
        <w:t>one of the following additional criteria are met:</w:t>
      </w:r>
    </w:p>
    <w:p w14:paraId="4773531C" w14:textId="77777777" w:rsidR="001964EC" w:rsidRPr="001964EC" w:rsidRDefault="001964EC" w:rsidP="001964EC">
      <w:pPr>
        <w:pStyle w:val="ListParagraph"/>
        <w:numPr>
          <w:ilvl w:val="0"/>
          <w:numId w:val="37"/>
        </w:numPr>
        <w:rPr>
          <w:b/>
        </w:rPr>
      </w:pPr>
      <w:r w:rsidRPr="001964EC">
        <w:rPr>
          <w:b/>
        </w:rPr>
        <w:t>At Least Half of Credits in the Higher Band</w:t>
      </w:r>
    </w:p>
    <w:p w14:paraId="2E484080" w14:textId="7B437556" w:rsidR="001964EC" w:rsidRDefault="001964EC" w:rsidP="001964EC">
      <w:pPr>
        <w:pStyle w:val="ListParagraph"/>
      </w:pPr>
      <w:r>
        <w:t>If at least 50% of the student’s credits in the final year/year of award have marks in the higher classification band, they would normally receive the higher class of award.</w:t>
      </w:r>
    </w:p>
    <w:p w14:paraId="65F952C2" w14:textId="77777777" w:rsidR="001964EC" w:rsidRDefault="001964EC" w:rsidP="001964EC">
      <w:pPr>
        <w:pStyle w:val="ListParagraph"/>
      </w:pPr>
    </w:p>
    <w:p w14:paraId="24DF347C" w14:textId="77777777" w:rsidR="001964EC" w:rsidRPr="001964EC" w:rsidRDefault="001964EC" w:rsidP="001964EC">
      <w:pPr>
        <w:pStyle w:val="ListParagraph"/>
        <w:numPr>
          <w:ilvl w:val="0"/>
          <w:numId w:val="37"/>
        </w:numPr>
        <w:rPr>
          <w:b/>
        </w:rPr>
      </w:pPr>
      <w:r w:rsidRPr="001964EC">
        <w:rPr>
          <w:b/>
        </w:rPr>
        <w:t>Exit Velocity</w:t>
      </w:r>
    </w:p>
    <w:p w14:paraId="21ED458D" w14:textId="3067BBDE" w:rsidR="001964EC" w:rsidRDefault="001964EC" w:rsidP="001964EC">
      <w:pPr>
        <w:pStyle w:val="ListParagraph"/>
      </w:pPr>
      <w:r w:rsidRPr="00121B50">
        <w:t xml:space="preserve">The Exam Board compares the average marks for the two highest levels of </w:t>
      </w:r>
      <w:r>
        <w:t>study on the programme. If the student’s marks have improved as they progressed, ending up in the higher classification band, the board will normally award the higher class of award.</w:t>
      </w:r>
    </w:p>
    <w:p w14:paraId="169EF2E4" w14:textId="77777777" w:rsidR="001964EC" w:rsidRDefault="001964EC" w:rsidP="001964EC">
      <w:pPr>
        <w:pStyle w:val="ListParagraph"/>
      </w:pPr>
    </w:p>
    <w:p w14:paraId="2691F729" w14:textId="77777777" w:rsidR="001964EC" w:rsidRPr="001964EC" w:rsidRDefault="001964EC" w:rsidP="001964EC">
      <w:pPr>
        <w:pStyle w:val="ListParagraph"/>
        <w:numPr>
          <w:ilvl w:val="0"/>
          <w:numId w:val="37"/>
        </w:numPr>
        <w:rPr>
          <w:b/>
          <w:bCs/>
        </w:rPr>
      </w:pPr>
      <w:r w:rsidRPr="001964EC">
        <w:rPr>
          <w:b/>
          <w:bCs/>
        </w:rPr>
        <w:t>Performance in the major final stage project or dissertation</w:t>
      </w:r>
    </w:p>
    <w:p w14:paraId="48C39791" w14:textId="77777777" w:rsidR="001964EC" w:rsidRPr="00956D5B" w:rsidRDefault="001964EC" w:rsidP="001964EC">
      <w:pPr>
        <w:pStyle w:val="ListParagraph"/>
      </w:pPr>
      <w:r w:rsidRPr="0053387F">
        <w:t>If the major project or dissertation module achieves a mark within the higher classification</w:t>
      </w:r>
      <w:r>
        <w:t xml:space="preserve"> band</w:t>
      </w:r>
      <w:r w:rsidRPr="0053387F">
        <w:t>, the Board will normally award the higher class of award.</w:t>
      </w:r>
    </w:p>
    <w:p w14:paraId="12CDD792" w14:textId="29370F90" w:rsidR="001964EC" w:rsidRDefault="001964EC" w:rsidP="001964EC">
      <w:pPr>
        <w:ind w:left="432"/>
        <w:rPr>
          <w:bCs/>
        </w:rPr>
      </w:pPr>
      <w:r>
        <w:rPr>
          <w:bCs/>
        </w:rPr>
        <w:t>Not all the above criteria apply to all awards. See table below for which will be relevant.</w:t>
      </w:r>
    </w:p>
    <w:p w14:paraId="405CE25A" w14:textId="758F411F" w:rsidR="001964EC" w:rsidRDefault="001964EC" w:rsidP="001964EC">
      <w:pPr>
        <w:ind w:left="432"/>
        <w:rPr>
          <w:bCs/>
        </w:rPr>
      </w:pPr>
    </w:p>
    <w:p w14:paraId="13C22B2A" w14:textId="574510DD" w:rsidR="001964EC" w:rsidRDefault="001964EC" w:rsidP="001964EC">
      <w:pPr>
        <w:ind w:left="432"/>
        <w:rPr>
          <w:bCs/>
        </w:rPr>
      </w:pPr>
    </w:p>
    <w:p w14:paraId="0FA4CF19" w14:textId="77777777" w:rsidR="001964EC" w:rsidRDefault="001964EC" w:rsidP="001964EC">
      <w:pPr>
        <w:ind w:left="432"/>
        <w:rPr>
          <w:bCs/>
        </w:rPr>
      </w:pPr>
      <w:bookmarkStart w:id="0" w:name="_GoBack"/>
      <w:bookmarkEnd w:id="0"/>
    </w:p>
    <w:tbl>
      <w:tblPr>
        <w:tblStyle w:val="TableGrid"/>
        <w:tblW w:w="0" w:type="auto"/>
        <w:jc w:val="center"/>
        <w:tblLook w:val="04A0" w:firstRow="1" w:lastRow="0" w:firstColumn="1" w:lastColumn="0" w:noHBand="0" w:noVBand="1"/>
      </w:tblPr>
      <w:tblGrid>
        <w:gridCol w:w="2972"/>
        <w:gridCol w:w="425"/>
        <w:gridCol w:w="2127"/>
        <w:gridCol w:w="1554"/>
        <w:gridCol w:w="1938"/>
      </w:tblGrid>
      <w:tr w:rsidR="001964EC" w:rsidRPr="00671E34" w14:paraId="7D2A15CE" w14:textId="77777777" w:rsidTr="001964EC">
        <w:trPr>
          <w:trHeight w:val="557"/>
          <w:jc w:val="center"/>
        </w:trPr>
        <w:tc>
          <w:tcPr>
            <w:tcW w:w="3397" w:type="dxa"/>
            <w:gridSpan w:val="2"/>
            <w:shd w:val="clear" w:color="auto" w:fill="D9E2F3" w:themeFill="accent1" w:themeFillTint="33"/>
          </w:tcPr>
          <w:p w14:paraId="2181E423" w14:textId="77777777" w:rsidR="001964EC" w:rsidRPr="00671E34" w:rsidRDefault="001964EC" w:rsidP="002573AA">
            <w:pPr>
              <w:rPr>
                <w:rFonts w:cs="Arial"/>
                <w:sz w:val="22"/>
              </w:rPr>
            </w:pPr>
            <w:r w:rsidRPr="00671E34">
              <w:rPr>
                <w:rFonts w:cs="Arial"/>
                <w:sz w:val="22"/>
              </w:rPr>
              <w:lastRenderedPageBreak/>
              <w:t>Potential Upgrade Criterion</w:t>
            </w:r>
          </w:p>
        </w:tc>
        <w:tc>
          <w:tcPr>
            <w:tcW w:w="2127" w:type="dxa"/>
            <w:shd w:val="clear" w:color="auto" w:fill="D9E2F3" w:themeFill="accent1" w:themeFillTint="33"/>
          </w:tcPr>
          <w:p w14:paraId="0F19CC90" w14:textId="77777777" w:rsidR="001964EC" w:rsidRPr="00671E34" w:rsidRDefault="001964EC" w:rsidP="002573AA">
            <w:pPr>
              <w:rPr>
                <w:rFonts w:cs="Arial"/>
                <w:b/>
                <w:sz w:val="22"/>
              </w:rPr>
            </w:pPr>
            <w:r w:rsidRPr="00671E34">
              <w:rPr>
                <w:rFonts w:cs="Arial"/>
                <w:b/>
                <w:sz w:val="22"/>
              </w:rPr>
              <w:t>At Least Half of Credits in the Higher Band</w:t>
            </w:r>
          </w:p>
          <w:p w14:paraId="6BC96C7A" w14:textId="77777777" w:rsidR="001964EC" w:rsidRPr="00671E34" w:rsidRDefault="001964EC" w:rsidP="002573AA">
            <w:pPr>
              <w:rPr>
                <w:rFonts w:cs="Arial"/>
                <w:b/>
                <w:sz w:val="22"/>
              </w:rPr>
            </w:pPr>
          </w:p>
        </w:tc>
        <w:tc>
          <w:tcPr>
            <w:tcW w:w="1554" w:type="dxa"/>
            <w:shd w:val="clear" w:color="auto" w:fill="D9E2F3" w:themeFill="accent1" w:themeFillTint="33"/>
          </w:tcPr>
          <w:p w14:paraId="29537F0E" w14:textId="77777777" w:rsidR="001964EC" w:rsidRPr="00671E34" w:rsidRDefault="001964EC" w:rsidP="002573AA">
            <w:pPr>
              <w:rPr>
                <w:rFonts w:cs="Arial"/>
                <w:b/>
                <w:sz w:val="22"/>
              </w:rPr>
            </w:pPr>
            <w:r w:rsidRPr="00671E34">
              <w:rPr>
                <w:rFonts w:cs="Arial"/>
                <w:b/>
                <w:sz w:val="22"/>
              </w:rPr>
              <w:t>Exit Velocity</w:t>
            </w:r>
          </w:p>
        </w:tc>
        <w:tc>
          <w:tcPr>
            <w:tcW w:w="1938" w:type="dxa"/>
            <w:shd w:val="clear" w:color="auto" w:fill="D9E2F3" w:themeFill="accent1" w:themeFillTint="33"/>
          </w:tcPr>
          <w:p w14:paraId="033E03F2" w14:textId="77777777" w:rsidR="001964EC" w:rsidRPr="00671E34" w:rsidRDefault="001964EC" w:rsidP="002573AA">
            <w:pPr>
              <w:rPr>
                <w:rFonts w:cs="Arial"/>
                <w:b/>
                <w:sz w:val="22"/>
              </w:rPr>
            </w:pPr>
            <w:r w:rsidRPr="00671E34">
              <w:rPr>
                <w:rFonts w:cs="Arial"/>
                <w:b/>
                <w:bCs/>
                <w:sz w:val="22"/>
              </w:rPr>
              <w:t>Major Project or Dissertation</w:t>
            </w:r>
          </w:p>
        </w:tc>
      </w:tr>
      <w:tr w:rsidR="001964EC" w:rsidRPr="00671E34" w14:paraId="1D655D92" w14:textId="77777777" w:rsidTr="001964EC">
        <w:trPr>
          <w:jc w:val="center"/>
        </w:trPr>
        <w:tc>
          <w:tcPr>
            <w:tcW w:w="2972" w:type="dxa"/>
          </w:tcPr>
          <w:p w14:paraId="52937733" w14:textId="77777777" w:rsidR="001964EC" w:rsidRPr="00671E34" w:rsidRDefault="001964EC" w:rsidP="002573AA">
            <w:pPr>
              <w:rPr>
                <w:rFonts w:cs="Arial"/>
                <w:sz w:val="22"/>
              </w:rPr>
            </w:pPr>
            <w:r w:rsidRPr="00671E34">
              <w:rPr>
                <w:rFonts w:cs="Arial"/>
                <w:sz w:val="22"/>
              </w:rPr>
              <w:t>Foundation Certificate</w:t>
            </w:r>
          </w:p>
        </w:tc>
        <w:tc>
          <w:tcPr>
            <w:tcW w:w="425" w:type="dxa"/>
          </w:tcPr>
          <w:p w14:paraId="7E50B791" w14:textId="77777777" w:rsidR="001964EC" w:rsidRPr="00671E34" w:rsidRDefault="001964EC" w:rsidP="002573AA">
            <w:pPr>
              <w:rPr>
                <w:rFonts w:cs="Arial"/>
                <w:sz w:val="22"/>
              </w:rPr>
            </w:pPr>
            <w:r w:rsidRPr="00671E34">
              <w:rPr>
                <w:rFonts w:cs="Arial"/>
                <w:sz w:val="22"/>
              </w:rPr>
              <w:t>3</w:t>
            </w:r>
          </w:p>
        </w:tc>
        <w:tc>
          <w:tcPr>
            <w:tcW w:w="2127" w:type="dxa"/>
          </w:tcPr>
          <w:p w14:paraId="799F1FEC" w14:textId="77777777" w:rsidR="001964EC" w:rsidRPr="00671E34" w:rsidRDefault="001964EC" w:rsidP="002573AA">
            <w:pPr>
              <w:jc w:val="center"/>
              <w:rPr>
                <w:rFonts w:cs="Arial"/>
                <w:sz w:val="22"/>
              </w:rPr>
            </w:pPr>
            <w:r w:rsidRPr="00671E34">
              <w:rPr>
                <w:rFonts w:cs="Arial"/>
                <w:sz w:val="22"/>
              </w:rPr>
              <w:sym w:font="Wingdings" w:char="F0FC"/>
            </w:r>
          </w:p>
          <w:p w14:paraId="68989073" w14:textId="77777777" w:rsidR="001964EC" w:rsidRPr="00671E34" w:rsidRDefault="001964EC" w:rsidP="002573AA">
            <w:pPr>
              <w:jc w:val="center"/>
              <w:rPr>
                <w:rFonts w:cs="Arial"/>
                <w:sz w:val="22"/>
              </w:rPr>
            </w:pPr>
            <w:r w:rsidRPr="00671E34">
              <w:rPr>
                <w:rFonts w:cs="Arial"/>
                <w:sz w:val="20"/>
              </w:rPr>
              <w:t>Only Distinction for 70+</w:t>
            </w:r>
          </w:p>
        </w:tc>
        <w:tc>
          <w:tcPr>
            <w:tcW w:w="1554" w:type="dxa"/>
            <w:shd w:val="clear" w:color="auto" w:fill="AEAAAA" w:themeFill="background2" w:themeFillShade="BF"/>
          </w:tcPr>
          <w:p w14:paraId="3FEA8563" w14:textId="77777777" w:rsidR="001964EC" w:rsidRPr="00671E34" w:rsidRDefault="001964EC" w:rsidP="002573AA">
            <w:pPr>
              <w:rPr>
                <w:rFonts w:cs="Arial"/>
                <w:sz w:val="22"/>
              </w:rPr>
            </w:pPr>
          </w:p>
        </w:tc>
        <w:tc>
          <w:tcPr>
            <w:tcW w:w="1938" w:type="dxa"/>
            <w:shd w:val="clear" w:color="auto" w:fill="AEAAAA" w:themeFill="background2" w:themeFillShade="BF"/>
          </w:tcPr>
          <w:p w14:paraId="230BF93D" w14:textId="77777777" w:rsidR="001964EC" w:rsidRPr="00671E34" w:rsidRDefault="001964EC" w:rsidP="002573AA">
            <w:pPr>
              <w:rPr>
                <w:rFonts w:cs="Arial"/>
                <w:sz w:val="22"/>
              </w:rPr>
            </w:pPr>
          </w:p>
        </w:tc>
      </w:tr>
      <w:tr w:rsidR="001964EC" w:rsidRPr="00671E34" w14:paraId="363C6C66" w14:textId="77777777" w:rsidTr="001964EC">
        <w:trPr>
          <w:jc w:val="center"/>
        </w:trPr>
        <w:tc>
          <w:tcPr>
            <w:tcW w:w="2972" w:type="dxa"/>
          </w:tcPr>
          <w:p w14:paraId="54C37DA8" w14:textId="77777777" w:rsidR="001964EC" w:rsidRPr="00671E34" w:rsidRDefault="001964EC" w:rsidP="002573AA">
            <w:pPr>
              <w:rPr>
                <w:rFonts w:cs="Arial"/>
                <w:sz w:val="22"/>
              </w:rPr>
            </w:pPr>
            <w:r w:rsidRPr="00671E34">
              <w:rPr>
                <w:rFonts w:cs="Arial"/>
                <w:sz w:val="22"/>
              </w:rPr>
              <w:t>Cert HE</w:t>
            </w:r>
          </w:p>
        </w:tc>
        <w:tc>
          <w:tcPr>
            <w:tcW w:w="425" w:type="dxa"/>
          </w:tcPr>
          <w:p w14:paraId="6AB88B24" w14:textId="77777777" w:rsidR="001964EC" w:rsidRPr="00671E34" w:rsidRDefault="001964EC" w:rsidP="002573AA">
            <w:pPr>
              <w:rPr>
                <w:rFonts w:cs="Arial"/>
                <w:sz w:val="22"/>
              </w:rPr>
            </w:pPr>
            <w:r w:rsidRPr="00671E34">
              <w:rPr>
                <w:rFonts w:cs="Arial"/>
                <w:sz w:val="22"/>
              </w:rPr>
              <w:t>4</w:t>
            </w:r>
          </w:p>
        </w:tc>
        <w:tc>
          <w:tcPr>
            <w:tcW w:w="2127" w:type="dxa"/>
          </w:tcPr>
          <w:p w14:paraId="44BEE09C" w14:textId="77777777" w:rsidR="001964EC" w:rsidRPr="00671E34" w:rsidRDefault="001964EC" w:rsidP="002573AA">
            <w:pPr>
              <w:jc w:val="center"/>
              <w:rPr>
                <w:rFonts w:cs="Arial"/>
                <w:sz w:val="22"/>
              </w:rPr>
            </w:pPr>
            <w:r w:rsidRPr="00671E34">
              <w:rPr>
                <w:rFonts w:cs="Arial"/>
                <w:sz w:val="22"/>
              </w:rPr>
              <w:sym w:font="Wingdings" w:char="F0FC"/>
            </w:r>
          </w:p>
          <w:p w14:paraId="69BB962A" w14:textId="77777777" w:rsidR="001964EC" w:rsidRPr="00671E34" w:rsidRDefault="001964EC" w:rsidP="002573AA">
            <w:pPr>
              <w:jc w:val="center"/>
              <w:rPr>
                <w:rFonts w:cs="Arial"/>
                <w:sz w:val="22"/>
              </w:rPr>
            </w:pPr>
            <w:r w:rsidRPr="00671E34">
              <w:rPr>
                <w:rFonts w:cs="Arial"/>
                <w:sz w:val="20"/>
              </w:rPr>
              <w:t>Only Distinction for 70+</w:t>
            </w:r>
          </w:p>
        </w:tc>
        <w:tc>
          <w:tcPr>
            <w:tcW w:w="1554" w:type="dxa"/>
            <w:shd w:val="clear" w:color="auto" w:fill="AEAAAA" w:themeFill="background2" w:themeFillShade="BF"/>
          </w:tcPr>
          <w:p w14:paraId="5C7CACC3" w14:textId="77777777" w:rsidR="001964EC" w:rsidRPr="00671E34" w:rsidRDefault="001964EC" w:rsidP="002573AA">
            <w:pPr>
              <w:rPr>
                <w:rFonts w:cs="Arial"/>
                <w:sz w:val="22"/>
              </w:rPr>
            </w:pPr>
          </w:p>
        </w:tc>
        <w:tc>
          <w:tcPr>
            <w:tcW w:w="1938" w:type="dxa"/>
            <w:shd w:val="clear" w:color="auto" w:fill="AEAAAA" w:themeFill="background2" w:themeFillShade="BF"/>
          </w:tcPr>
          <w:p w14:paraId="35FC9712" w14:textId="77777777" w:rsidR="001964EC" w:rsidRPr="00671E34" w:rsidRDefault="001964EC" w:rsidP="002573AA">
            <w:pPr>
              <w:rPr>
                <w:rFonts w:cs="Arial"/>
                <w:sz w:val="22"/>
              </w:rPr>
            </w:pPr>
          </w:p>
        </w:tc>
      </w:tr>
      <w:tr w:rsidR="001964EC" w:rsidRPr="00671E34" w14:paraId="438B3B11" w14:textId="77777777" w:rsidTr="001964EC">
        <w:trPr>
          <w:jc w:val="center"/>
        </w:trPr>
        <w:tc>
          <w:tcPr>
            <w:tcW w:w="2972" w:type="dxa"/>
          </w:tcPr>
          <w:p w14:paraId="47175D3F" w14:textId="77777777" w:rsidR="001964EC" w:rsidRPr="00671E34" w:rsidRDefault="001964EC" w:rsidP="002573AA">
            <w:pPr>
              <w:rPr>
                <w:rFonts w:cs="Arial"/>
                <w:sz w:val="22"/>
              </w:rPr>
            </w:pPr>
            <w:r w:rsidRPr="00671E34">
              <w:rPr>
                <w:rFonts w:cs="Arial"/>
                <w:sz w:val="22"/>
              </w:rPr>
              <w:t>HNC</w:t>
            </w:r>
          </w:p>
        </w:tc>
        <w:tc>
          <w:tcPr>
            <w:tcW w:w="425" w:type="dxa"/>
          </w:tcPr>
          <w:p w14:paraId="66610BB5" w14:textId="77777777" w:rsidR="001964EC" w:rsidRPr="00671E34" w:rsidRDefault="001964EC" w:rsidP="002573AA">
            <w:pPr>
              <w:rPr>
                <w:rFonts w:cs="Arial"/>
                <w:sz w:val="22"/>
              </w:rPr>
            </w:pPr>
            <w:r w:rsidRPr="00671E34">
              <w:rPr>
                <w:rFonts w:cs="Arial"/>
                <w:sz w:val="22"/>
              </w:rPr>
              <w:t>4</w:t>
            </w:r>
          </w:p>
        </w:tc>
        <w:tc>
          <w:tcPr>
            <w:tcW w:w="2127" w:type="dxa"/>
          </w:tcPr>
          <w:p w14:paraId="340B0615" w14:textId="77777777" w:rsidR="001964EC" w:rsidRPr="00671E34" w:rsidRDefault="001964EC" w:rsidP="002573AA">
            <w:pPr>
              <w:jc w:val="center"/>
              <w:rPr>
                <w:rFonts w:cs="Arial"/>
                <w:sz w:val="22"/>
              </w:rPr>
            </w:pPr>
            <w:r w:rsidRPr="00671E34">
              <w:rPr>
                <w:rFonts w:cs="Arial"/>
                <w:sz w:val="22"/>
              </w:rPr>
              <w:sym w:font="Wingdings" w:char="F0FC"/>
            </w:r>
          </w:p>
        </w:tc>
        <w:tc>
          <w:tcPr>
            <w:tcW w:w="1554" w:type="dxa"/>
            <w:shd w:val="clear" w:color="auto" w:fill="AEAAAA" w:themeFill="background2" w:themeFillShade="BF"/>
          </w:tcPr>
          <w:p w14:paraId="25F5199D" w14:textId="77777777" w:rsidR="001964EC" w:rsidRPr="00671E34" w:rsidRDefault="001964EC" w:rsidP="002573AA">
            <w:pPr>
              <w:jc w:val="center"/>
              <w:rPr>
                <w:rFonts w:cs="Arial"/>
                <w:sz w:val="22"/>
              </w:rPr>
            </w:pPr>
          </w:p>
        </w:tc>
        <w:tc>
          <w:tcPr>
            <w:tcW w:w="1938" w:type="dxa"/>
            <w:shd w:val="clear" w:color="auto" w:fill="AEAAAA" w:themeFill="background2" w:themeFillShade="BF"/>
          </w:tcPr>
          <w:p w14:paraId="46E46889" w14:textId="77777777" w:rsidR="001964EC" w:rsidRPr="00671E34" w:rsidRDefault="001964EC" w:rsidP="002573AA">
            <w:pPr>
              <w:rPr>
                <w:rFonts w:cs="Arial"/>
                <w:sz w:val="22"/>
              </w:rPr>
            </w:pPr>
          </w:p>
        </w:tc>
      </w:tr>
      <w:tr w:rsidR="001964EC" w:rsidRPr="00671E34" w14:paraId="7178FE27" w14:textId="77777777" w:rsidTr="001964EC">
        <w:trPr>
          <w:jc w:val="center"/>
        </w:trPr>
        <w:tc>
          <w:tcPr>
            <w:tcW w:w="2972" w:type="dxa"/>
          </w:tcPr>
          <w:p w14:paraId="4F65D936" w14:textId="77777777" w:rsidR="001964EC" w:rsidRPr="00671E34" w:rsidRDefault="001964EC" w:rsidP="002573AA">
            <w:pPr>
              <w:rPr>
                <w:rFonts w:cs="Arial"/>
                <w:sz w:val="22"/>
              </w:rPr>
            </w:pPr>
            <w:r w:rsidRPr="00671E34">
              <w:rPr>
                <w:rFonts w:cs="Arial"/>
                <w:sz w:val="22"/>
              </w:rPr>
              <w:t>Dip HE</w:t>
            </w:r>
          </w:p>
        </w:tc>
        <w:tc>
          <w:tcPr>
            <w:tcW w:w="425" w:type="dxa"/>
          </w:tcPr>
          <w:p w14:paraId="114AC4E3" w14:textId="77777777" w:rsidR="001964EC" w:rsidRPr="00671E34" w:rsidRDefault="001964EC" w:rsidP="002573AA">
            <w:pPr>
              <w:rPr>
                <w:rFonts w:cs="Arial"/>
                <w:sz w:val="22"/>
              </w:rPr>
            </w:pPr>
            <w:r w:rsidRPr="00671E34">
              <w:rPr>
                <w:rFonts w:cs="Arial"/>
                <w:sz w:val="22"/>
              </w:rPr>
              <w:t>5</w:t>
            </w:r>
          </w:p>
        </w:tc>
        <w:tc>
          <w:tcPr>
            <w:tcW w:w="2127" w:type="dxa"/>
          </w:tcPr>
          <w:p w14:paraId="7C6FEAE3" w14:textId="77777777" w:rsidR="001964EC" w:rsidRPr="00671E34" w:rsidRDefault="001964EC" w:rsidP="002573AA">
            <w:pPr>
              <w:jc w:val="center"/>
              <w:rPr>
                <w:rFonts w:cs="Arial"/>
                <w:sz w:val="22"/>
              </w:rPr>
            </w:pPr>
            <w:r w:rsidRPr="00671E34">
              <w:rPr>
                <w:rFonts w:cs="Arial"/>
                <w:sz w:val="22"/>
              </w:rPr>
              <w:sym w:font="Wingdings" w:char="F0FC"/>
            </w:r>
          </w:p>
          <w:p w14:paraId="6C931008" w14:textId="77777777" w:rsidR="001964EC" w:rsidRPr="00671E34" w:rsidRDefault="001964EC" w:rsidP="002573AA">
            <w:pPr>
              <w:jc w:val="center"/>
              <w:rPr>
                <w:rFonts w:cs="Arial"/>
                <w:sz w:val="22"/>
              </w:rPr>
            </w:pPr>
            <w:r w:rsidRPr="00671E34">
              <w:rPr>
                <w:rFonts w:cs="Arial"/>
                <w:sz w:val="20"/>
              </w:rPr>
              <w:t>Only Distinction for 70+</w:t>
            </w:r>
          </w:p>
        </w:tc>
        <w:tc>
          <w:tcPr>
            <w:tcW w:w="1554" w:type="dxa"/>
          </w:tcPr>
          <w:p w14:paraId="60DAEFA0" w14:textId="77777777" w:rsidR="001964EC" w:rsidRPr="00671E34" w:rsidRDefault="001964EC" w:rsidP="002573AA">
            <w:pPr>
              <w:jc w:val="center"/>
              <w:rPr>
                <w:rFonts w:cs="Arial"/>
                <w:sz w:val="22"/>
              </w:rPr>
            </w:pPr>
            <w:r w:rsidRPr="00671E34">
              <w:rPr>
                <w:rFonts w:cs="Arial"/>
                <w:sz w:val="22"/>
              </w:rPr>
              <w:t>L4 &amp; L5</w:t>
            </w:r>
          </w:p>
        </w:tc>
        <w:tc>
          <w:tcPr>
            <w:tcW w:w="1938" w:type="dxa"/>
            <w:shd w:val="clear" w:color="auto" w:fill="AEAAAA" w:themeFill="background2" w:themeFillShade="BF"/>
          </w:tcPr>
          <w:p w14:paraId="4A27BC8B" w14:textId="77777777" w:rsidR="001964EC" w:rsidRPr="00671E34" w:rsidRDefault="001964EC" w:rsidP="002573AA">
            <w:pPr>
              <w:rPr>
                <w:rFonts w:cs="Arial"/>
                <w:sz w:val="22"/>
              </w:rPr>
            </w:pPr>
          </w:p>
        </w:tc>
      </w:tr>
      <w:tr w:rsidR="001964EC" w:rsidRPr="00671E34" w14:paraId="2E7A79E4" w14:textId="77777777" w:rsidTr="001964EC">
        <w:trPr>
          <w:jc w:val="center"/>
        </w:trPr>
        <w:tc>
          <w:tcPr>
            <w:tcW w:w="2972" w:type="dxa"/>
          </w:tcPr>
          <w:p w14:paraId="49BB2051" w14:textId="77777777" w:rsidR="001964EC" w:rsidRPr="00671E34" w:rsidRDefault="001964EC" w:rsidP="002573AA">
            <w:pPr>
              <w:rPr>
                <w:rFonts w:cs="Arial"/>
                <w:sz w:val="22"/>
              </w:rPr>
            </w:pPr>
            <w:r w:rsidRPr="00671E34">
              <w:rPr>
                <w:rFonts w:cs="Arial"/>
                <w:sz w:val="22"/>
              </w:rPr>
              <w:t xml:space="preserve">HND </w:t>
            </w:r>
          </w:p>
        </w:tc>
        <w:tc>
          <w:tcPr>
            <w:tcW w:w="425" w:type="dxa"/>
          </w:tcPr>
          <w:p w14:paraId="2AD3B0E6" w14:textId="77777777" w:rsidR="001964EC" w:rsidRPr="00671E34" w:rsidRDefault="001964EC" w:rsidP="002573AA">
            <w:pPr>
              <w:rPr>
                <w:rFonts w:cs="Arial"/>
                <w:sz w:val="22"/>
              </w:rPr>
            </w:pPr>
            <w:r w:rsidRPr="00671E34">
              <w:rPr>
                <w:rFonts w:cs="Arial"/>
                <w:sz w:val="22"/>
              </w:rPr>
              <w:t>5</w:t>
            </w:r>
          </w:p>
        </w:tc>
        <w:tc>
          <w:tcPr>
            <w:tcW w:w="2127" w:type="dxa"/>
          </w:tcPr>
          <w:p w14:paraId="1636297F" w14:textId="77777777" w:rsidR="001964EC" w:rsidRPr="00671E34" w:rsidRDefault="001964EC" w:rsidP="002573AA">
            <w:pPr>
              <w:jc w:val="center"/>
              <w:rPr>
                <w:rFonts w:cs="Arial"/>
                <w:sz w:val="22"/>
              </w:rPr>
            </w:pPr>
            <w:r w:rsidRPr="00671E34">
              <w:rPr>
                <w:rFonts w:cs="Arial"/>
                <w:sz w:val="22"/>
              </w:rPr>
              <w:sym w:font="Wingdings" w:char="F0FC"/>
            </w:r>
          </w:p>
        </w:tc>
        <w:tc>
          <w:tcPr>
            <w:tcW w:w="1554" w:type="dxa"/>
          </w:tcPr>
          <w:p w14:paraId="36E29A9E" w14:textId="77777777" w:rsidR="001964EC" w:rsidRPr="00671E34" w:rsidRDefault="001964EC" w:rsidP="002573AA">
            <w:pPr>
              <w:jc w:val="center"/>
              <w:rPr>
                <w:rFonts w:cs="Arial"/>
                <w:sz w:val="22"/>
              </w:rPr>
            </w:pPr>
            <w:r w:rsidRPr="00671E34">
              <w:rPr>
                <w:rFonts w:cs="Arial"/>
                <w:sz w:val="22"/>
              </w:rPr>
              <w:t>L4 &amp; L5</w:t>
            </w:r>
          </w:p>
        </w:tc>
        <w:tc>
          <w:tcPr>
            <w:tcW w:w="1938" w:type="dxa"/>
            <w:shd w:val="clear" w:color="auto" w:fill="AEAAAA" w:themeFill="background2" w:themeFillShade="BF"/>
          </w:tcPr>
          <w:p w14:paraId="2E52830E" w14:textId="77777777" w:rsidR="001964EC" w:rsidRPr="00671E34" w:rsidRDefault="001964EC" w:rsidP="002573AA">
            <w:pPr>
              <w:rPr>
                <w:rFonts w:cs="Arial"/>
                <w:sz w:val="22"/>
              </w:rPr>
            </w:pPr>
          </w:p>
        </w:tc>
      </w:tr>
      <w:tr w:rsidR="001964EC" w:rsidRPr="00671E34" w14:paraId="66A38656" w14:textId="77777777" w:rsidTr="001964EC">
        <w:trPr>
          <w:jc w:val="center"/>
        </w:trPr>
        <w:tc>
          <w:tcPr>
            <w:tcW w:w="2972" w:type="dxa"/>
          </w:tcPr>
          <w:p w14:paraId="2BA2F672" w14:textId="77777777" w:rsidR="001964EC" w:rsidRPr="00671E34" w:rsidRDefault="001964EC" w:rsidP="002573AA">
            <w:pPr>
              <w:rPr>
                <w:rFonts w:cs="Arial"/>
                <w:sz w:val="22"/>
              </w:rPr>
            </w:pPr>
            <w:r w:rsidRPr="00671E34">
              <w:rPr>
                <w:rFonts w:cs="Arial"/>
                <w:sz w:val="22"/>
              </w:rPr>
              <w:t>Foundation Degree</w:t>
            </w:r>
          </w:p>
        </w:tc>
        <w:tc>
          <w:tcPr>
            <w:tcW w:w="425" w:type="dxa"/>
          </w:tcPr>
          <w:p w14:paraId="25D54C5B" w14:textId="77777777" w:rsidR="001964EC" w:rsidRPr="00671E34" w:rsidRDefault="001964EC" w:rsidP="002573AA">
            <w:pPr>
              <w:rPr>
                <w:rFonts w:cs="Arial"/>
                <w:sz w:val="22"/>
              </w:rPr>
            </w:pPr>
            <w:r w:rsidRPr="00671E34">
              <w:rPr>
                <w:rFonts w:cs="Arial"/>
                <w:sz w:val="22"/>
              </w:rPr>
              <w:t>5</w:t>
            </w:r>
          </w:p>
        </w:tc>
        <w:tc>
          <w:tcPr>
            <w:tcW w:w="2127" w:type="dxa"/>
          </w:tcPr>
          <w:p w14:paraId="02DF09D7" w14:textId="77777777" w:rsidR="001964EC" w:rsidRPr="00671E34" w:rsidRDefault="001964EC" w:rsidP="002573AA">
            <w:pPr>
              <w:jc w:val="center"/>
              <w:rPr>
                <w:rFonts w:cs="Arial"/>
                <w:sz w:val="22"/>
              </w:rPr>
            </w:pPr>
            <w:r w:rsidRPr="00671E34">
              <w:rPr>
                <w:rFonts w:cs="Arial"/>
                <w:sz w:val="22"/>
              </w:rPr>
              <w:sym w:font="Wingdings" w:char="F0FC"/>
            </w:r>
          </w:p>
        </w:tc>
        <w:tc>
          <w:tcPr>
            <w:tcW w:w="1554" w:type="dxa"/>
          </w:tcPr>
          <w:p w14:paraId="41893B39" w14:textId="77777777" w:rsidR="001964EC" w:rsidRPr="00671E34" w:rsidRDefault="001964EC" w:rsidP="002573AA">
            <w:pPr>
              <w:jc w:val="center"/>
              <w:rPr>
                <w:rFonts w:cs="Arial"/>
                <w:sz w:val="22"/>
              </w:rPr>
            </w:pPr>
            <w:r w:rsidRPr="00671E34">
              <w:rPr>
                <w:rFonts w:cs="Arial"/>
                <w:sz w:val="22"/>
              </w:rPr>
              <w:t>L4 &amp; L5</w:t>
            </w:r>
          </w:p>
        </w:tc>
        <w:tc>
          <w:tcPr>
            <w:tcW w:w="1938" w:type="dxa"/>
            <w:shd w:val="clear" w:color="auto" w:fill="AEAAAA" w:themeFill="background2" w:themeFillShade="BF"/>
          </w:tcPr>
          <w:p w14:paraId="48B1C370" w14:textId="77777777" w:rsidR="001964EC" w:rsidRPr="00671E34" w:rsidRDefault="001964EC" w:rsidP="002573AA">
            <w:pPr>
              <w:rPr>
                <w:rFonts w:cs="Arial"/>
                <w:sz w:val="22"/>
              </w:rPr>
            </w:pPr>
          </w:p>
        </w:tc>
      </w:tr>
      <w:tr w:rsidR="001964EC" w:rsidRPr="00671E34" w14:paraId="7286F0D7" w14:textId="77777777" w:rsidTr="001964EC">
        <w:trPr>
          <w:jc w:val="center"/>
        </w:trPr>
        <w:tc>
          <w:tcPr>
            <w:tcW w:w="2972" w:type="dxa"/>
          </w:tcPr>
          <w:p w14:paraId="2A658B9A" w14:textId="77777777" w:rsidR="001964EC" w:rsidRPr="00671E34" w:rsidRDefault="001964EC" w:rsidP="002573AA">
            <w:pPr>
              <w:rPr>
                <w:rFonts w:cs="Arial"/>
                <w:sz w:val="22"/>
              </w:rPr>
            </w:pPr>
            <w:r w:rsidRPr="00671E34">
              <w:rPr>
                <w:rFonts w:cs="Arial"/>
                <w:sz w:val="22"/>
              </w:rPr>
              <w:t>Higher Diploma</w:t>
            </w:r>
          </w:p>
        </w:tc>
        <w:tc>
          <w:tcPr>
            <w:tcW w:w="425" w:type="dxa"/>
          </w:tcPr>
          <w:p w14:paraId="14A95E2D" w14:textId="77777777" w:rsidR="001964EC" w:rsidRPr="00671E34" w:rsidRDefault="001964EC" w:rsidP="002573AA">
            <w:pPr>
              <w:rPr>
                <w:rFonts w:cs="Arial"/>
                <w:sz w:val="22"/>
              </w:rPr>
            </w:pPr>
            <w:r w:rsidRPr="00671E34">
              <w:rPr>
                <w:rFonts w:cs="Arial"/>
                <w:sz w:val="22"/>
              </w:rPr>
              <w:t>5</w:t>
            </w:r>
          </w:p>
        </w:tc>
        <w:tc>
          <w:tcPr>
            <w:tcW w:w="2127" w:type="dxa"/>
          </w:tcPr>
          <w:p w14:paraId="408EA5E9" w14:textId="77777777" w:rsidR="001964EC" w:rsidRPr="00671E34" w:rsidRDefault="001964EC" w:rsidP="002573AA">
            <w:pPr>
              <w:jc w:val="center"/>
              <w:rPr>
                <w:rFonts w:cs="Arial"/>
                <w:sz w:val="22"/>
              </w:rPr>
            </w:pPr>
            <w:r w:rsidRPr="00671E34">
              <w:rPr>
                <w:rFonts w:cs="Arial"/>
                <w:sz w:val="22"/>
              </w:rPr>
              <w:sym w:font="Wingdings" w:char="F0FC"/>
            </w:r>
          </w:p>
        </w:tc>
        <w:tc>
          <w:tcPr>
            <w:tcW w:w="1554" w:type="dxa"/>
          </w:tcPr>
          <w:p w14:paraId="3B7FB303" w14:textId="77777777" w:rsidR="001964EC" w:rsidRPr="00671E34" w:rsidRDefault="001964EC" w:rsidP="002573AA">
            <w:pPr>
              <w:jc w:val="center"/>
              <w:rPr>
                <w:rFonts w:cs="Arial"/>
                <w:sz w:val="22"/>
              </w:rPr>
            </w:pPr>
            <w:r w:rsidRPr="00671E34">
              <w:rPr>
                <w:rFonts w:cs="Arial"/>
                <w:sz w:val="22"/>
              </w:rPr>
              <w:t>L4 &amp; L5</w:t>
            </w:r>
          </w:p>
        </w:tc>
        <w:tc>
          <w:tcPr>
            <w:tcW w:w="1938" w:type="dxa"/>
            <w:shd w:val="clear" w:color="auto" w:fill="AEAAAA" w:themeFill="background2" w:themeFillShade="BF"/>
          </w:tcPr>
          <w:p w14:paraId="2D034BFD" w14:textId="77777777" w:rsidR="001964EC" w:rsidRPr="00671E34" w:rsidRDefault="001964EC" w:rsidP="002573AA">
            <w:pPr>
              <w:rPr>
                <w:rFonts w:cs="Arial"/>
                <w:sz w:val="22"/>
              </w:rPr>
            </w:pPr>
          </w:p>
        </w:tc>
      </w:tr>
      <w:tr w:rsidR="001964EC" w:rsidRPr="00671E34" w14:paraId="193FBF74" w14:textId="77777777" w:rsidTr="001964EC">
        <w:trPr>
          <w:jc w:val="center"/>
        </w:trPr>
        <w:tc>
          <w:tcPr>
            <w:tcW w:w="2972" w:type="dxa"/>
          </w:tcPr>
          <w:p w14:paraId="3DD25055" w14:textId="77777777" w:rsidR="001964EC" w:rsidRPr="00671E34" w:rsidRDefault="001964EC" w:rsidP="002573AA">
            <w:pPr>
              <w:rPr>
                <w:rFonts w:cs="Arial"/>
                <w:sz w:val="22"/>
              </w:rPr>
            </w:pPr>
            <w:r w:rsidRPr="00671E34">
              <w:rPr>
                <w:rFonts w:cs="Arial"/>
                <w:sz w:val="22"/>
              </w:rPr>
              <w:t>Graduate Cert/Dip</w:t>
            </w:r>
          </w:p>
        </w:tc>
        <w:tc>
          <w:tcPr>
            <w:tcW w:w="425" w:type="dxa"/>
          </w:tcPr>
          <w:p w14:paraId="486099D4" w14:textId="77777777" w:rsidR="001964EC" w:rsidRPr="00671E34" w:rsidRDefault="001964EC" w:rsidP="002573AA">
            <w:pPr>
              <w:rPr>
                <w:rFonts w:cs="Arial"/>
                <w:sz w:val="22"/>
              </w:rPr>
            </w:pPr>
            <w:r w:rsidRPr="00671E34">
              <w:rPr>
                <w:rFonts w:cs="Arial"/>
                <w:sz w:val="22"/>
              </w:rPr>
              <w:t>6</w:t>
            </w:r>
          </w:p>
        </w:tc>
        <w:tc>
          <w:tcPr>
            <w:tcW w:w="2127" w:type="dxa"/>
          </w:tcPr>
          <w:p w14:paraId="3CFA48C3" w14:textId="77777777" w:rsidR="001964EC" w:rsidRPr="00671E34" w:rsidRDefault="001964EC" w:rsidP="002573AA">
            <w:pPr>
              <w:jc w:val="center"/>
              <w:rPr>
                <w:rFonts w:cs="Arial"/>
                <w:sz w:val="22"/>
              </w:rPr>
            </w:pPr>
            <w:r w:rsidRPr="00671E34">
              <w:rPr>
                <w:rFonts w:cs="Arial"/>
                <w:sz w:val="22"/>
              </w:rPr>
              <w:sym w:font="Wingdings" w:char="F0FC"/>
            </w:r>
          </w:p>
        </w:tc>
        <w:tc>
          <w:tcPr>
            <w:tcW w:w="1554" w:type="dxa"/>
            <w:shd w:val="clear" w:color="auto" w:fill="AEAAAA" w:themeFill="background2" w:themeFillShade="BF"/>
          </w:tcPr>
          <w:p w14:paraId="68C62625" w14:textId="77777777" w:rsidR="001964EC" w:rsidRPr="00671E34" w:rsidRDefault="001964EC" w:rsidP="002573AA">
            <w:pPr>
              <w:jc w:val="center"/>
              <w:rPr>
                <w:rFonts w:cs="Arial"/>
                <w:sz w:val="22"/>
              </w:rPr>
            </w:pPr>
          </w:p>
        </w:tc>
        <w:tc>
          <w:tcPr>
            <w:tcW w:w="1938" w:type="dxa"/>
            <w:shd w:val="clear" w:color="auto" w:fill="AEAAAA" w:themeFill="background2" w:themeFillShade="BF"/>
          </w:tcPr>
          <w:p w14:paraId="14B25A52" w14:textId="77777777" w:rsidR="001964EC" w:rsidRPr="00671E34" w:rsidRDefault="001964EC" w:rsidP="002573AA">
            <w:pPr>
              <w:rPr>
                <w:rFonts w:cs="Arial"/>
                <w:sz w:val="22"/>
              </w:rPr>
            </w:pPr>
          </w:p>
        </w:tc>
      </w:tr>
      <w:tr w:rsidR="001964EC" w:rsidRPr="00671E34" w14:paraId="79489E40" w14:textId="77777777" w:rsidTr="001964EC">
        <w:trPr>
          <w:jc w:val="center"/>
        </w:trPr>
        <w:tc>
          <w:tcPr>
            <w:tcW w:w="2972" w:type="dxa"/>
          </w:tcPr>
          <w:p w14:paraId="3DA07971" w14:textId="77777777" w:rsidR="001964EC" w:rsidRPr="00671E34" w:rsidRDefault="001964EC" w:rsidP="002573AA">
            <w:pPr>
              <w:rPr>
                <w:rFonts w:cs="Arial"/>
                <w:sz w:val="22"/>
              </w:rPr>
            </w:pPr>
            <w:r w:rsidRPr="00671E34">
              <w:rPr>
                <w:rFonts w:cs="Arial"/>
                <w:sz w:val="22"/>
              </w:rPr>
              <w:t>Honours Degree (BA, BSc)</w:t>
            </w:r>
          </w:p>
        </w:tc>
        <w:tc>
          <w:tcPr>
            <w:tcW w:w="425" w:type="dxa"/>
          </w:tcPr>
          <w:p w14:paraId="505FB5A6" w14:textId="77777777" w:rsidR="001964EC" w:rsidRPr="00671E34" w:rsidRDefault="001964EC" w:rsidP="002573AA">
            <w:pPr>
              <w:rPr>
                <w:rFonts w:cs="Arial"/>
                <w:sz w:val="22"/>
              </w:rPr>
            </w:pPr>
            <w:r w:rsidRPr="00671E34">
              <w:rPr>
                <w:rFonts w:cs="Arial"/>
                <w:sz w:val="22"/>
              </w:rPr>
              <w:t>6</w:t>
            </w:r>
          </w:p>
        </w:tc>
        <w:tc>
          <w:tcPr>
            <w:tcW w:w="2127" w:type="dxa"/>
          </w:tcPr>
          <w:p w14:paraId="02C873BB" w14:textId="77777777" w:rsidR="001964EC" w:rsidRPr="00671E34" w:rsidRDefault="001964EC" w:rsidP="002573AA">
            <w:pPr>
              <w:jc w:val="center"/>
              <w:rPr>
                <w:rFonts w:cs="Arial"/>
                <w:sz w:val="22"/>
              </w:rPr>
            </w:pPr>
            <w:r w:rsidRPr="00671E34">
              <w:rPr>
                <w:rFonts w:cs="Arial"/>
                <w:sz w:val="22"/>
              </w:rPr>
              <w:sym w:font="Wingdings" w:char="F0FC"/>
            </w:r>
          </w:p>
        </w:tc>
        <w:tc>
          <w:tcPr>
            <w:tcW w:w="1554" w:type="dxa"/>
          </w:tcPr>
          <w:p w14:paraId="5F0C78EA" w14:textId="77777777" w:rsidR="001964EC" w:rsidRPr="00671E34" w:rsidRDefault="001964EC" w:rsidP="002573AA">
            <w:pPr>
              <w:jc w:val="center"/>
              <w:rPr>
                <w:rFonts w:cs="Arial"/>
                <w:sz w:val="22"/>
              </w:rPr>
            </w:pPr>
            <w:r w:rsidRPr="00671E34">
              <w:rPr>
                <w:rFonts w:cs="Arial"/>
                <w:sz w:val="22"/>
              </w:rPr>
              <w:t>L5 &amp; L6</w:t>
            </w:r>
          </w:p>
        </w:tc>
        <w:tc>
          <w:tcPr>
            <w:tcW w:w="1938" w:type="dxa"/>
          </w:tcPr>
          <w:p w14:paraId="7C879ABF" w14:textId="77777777" w:rsidR="001964EC" w:rsidRPr="00671E34" w:rsidRDefault="001964EC" w:rsidP="002573AA">
            <w:pPr>
              <w:jc w:val="center"/>
              <w:rPr>
                <w:rFonts w:cs="Arial"/>
                <w:sz w:val="22"/>
              </w:rPr>
            </w:pPr>
            <w:r w:rsidRPr="00671E34">
              <w:rPr>
                <w:rFonts w:cs="Arial"/>
                <w:sz w:val="22"/>
              </w:rPr>
              <w:sym w:font="Wingdings" w:char="F0FC"/>
            </w:r>
          </w:p>
        </w:tc>
      </w:tr>
      <w:tr w:rsidR="001964EC" w:rsidRPr="00671E34" w14:paraId="3FB969F7" w14:textId="77777777" w:rsidTr="001964EC">
        <w:trPr>
          <w:jc w:val="center"/>
        </w:trPr>
        <w:tc>
          <w:tcPr>
            <w:tcW w:w="2972" w:type="dxa"/>
          </w:tcPr>
          <w:p w14:paraId="71EBE9AB" w14:textId="77777777" w:rsidR="001964EC" w:rsidRPr="00671E34" w:rsidRDefault="001964EC" w:rsidP="002573AA">
            <w:pPr>
              <w:rPr>
                <w:rFonts w:cs="Arial"/>
                <w:sz w:val="22"/>
              </w:rPr>
            </w:pPr>
            <w:r w:rsidRPr="00671E34">
              <w:rPr>
                <w:rFonts w:cs="Arial"/>
                <w:sz w:val="22"/>
              </w:rPr>
              <w:t>Integrated Masters</w:t>
            </w:r>
          </w:p>
        </w:tc>
        <w:tc>
          <w:tcPr>
            <w:tcW w:w="425" w:type="dxa"/>
          </w:tcPr>
          <w:p w14:paraId="02703F09" w14:textId="77777777" w:rsidR="001964EC" w:rsidRPr="00671E34" w:rsidRDefault="001964EC" w:rsidP="002573AA">
            <w:pPr>
              <w:rPr>
                <w:rFonts w:cs="Arial"/>
                <w:sz w:val="22"/>
              </w:rPr>
            </w:pPr>
            <w:r w:rsidRPr="00671E34">
              <w:rPr>
                <w:rFonts w:cs="Arial"/>
                <w:sz w:val="22"/>
              </w:rPr>
              <w:t>7</w:t>
            </w:r>
          </w:p>
        </w:tc>
        <w:tc>
          <w:tcPr>
            <w:tcW w:w="2127" w:type="dxa"/>
          </w:tcPr>
          <w:p w14:paraId="272EDDC4" w14:textId="77777777" w:rsidR="001964EC" w:rsidRPr="00671E34" w:rsidRDefault="001964EC" w:rsidP="002573AA">
            <w:pPr>
              <w:jc w:val="center"/>
              <w:rPr>
                <w:rFonts w:cs="Arial"/>
                <w:sz w:val="22"/>
              </w:rPr>
            </w:pPr>
            <w:r w:rsidRPr="00671E34">
              <w:rPr>
                <w:rFonts w:cs="Arial"/>
                <w:sz w:val="22"/>
              </w:rPr>
              <w:sym w:font="Wingdings" w:char="F0FC"/>
            </w:r>
          </w:p>
        </w:tc>
        <w:tc>
          <w:tcPr>
            <w:tcW w:w="1554" w:type="dxa"/>
            <w:shd w:val="clear" w:color="auto" w:fill="AEAAAA" w:themeFill="background2" w:themeFillShade="BF"/>
          </w:tcPr>
          <w:p w14:paraId="4BFE6319" w14:textId="77777777" w:rsidR="001964EC" w:rsidRPr="00671E34" w:rsidRDefault="001964EC" w:rsidP="002573AA">
            <w:pPr>
              <w:jc w:val="center"/>
              <w:rPr>
                <w:rFonts w:cs="Arial"/>
                <w:sz w:val="22"/>
              </w:rPr>
            </w:pPr>
          </w:p>
        </w:tc>
        <w:tc>
          <w:tcPr>
            <w:tcW w:w="1938" w:type="dxa"/>
          </w:tcPr>
          <w:p w14:paraId="792C9E14" w14:textId="77777777" w:rsidR="001964EC" w:rsidRPr="00671E34" w:rsidRDefault="001964EC" w:rsidP="002573AA">
            <w:pPr>
              <w:jc w:val="center"/>
              <w:rPr>
                <w:rFonts w:cs="Arial"/>
                <w:sz w:val="22"/>
              </w:rPr>
            </w:pPr>
            <w:r w:rsidRPr="00671E34">
              <w:rPr>
                <w:rFonts w:cs="Arial"/>
                <w:sz w:val="22"/>
              </w:rPr>
              <w:sym w:font="Wingdings" w:char="F0FC"/>
            </w:r>
          </w:p>
        </w:tc>
      </w:tr>
      <w:tr w:rsidR="001964EC" w:rsidRPr="00671E34" w14:paraId="7FFABD36" w14:textId="77777777" w:rsidTr="001964EC">
        <w:trPr>
          <w:jc w:val="center"/>
        </w:trPr>
        <w:tc>
          <w:tcPr>
            <w:tcW w:w="2972" w:type="dxa"/>
          </w:tcPr>
          <w:p w14:paraId="4722F695" w14:textId="77777777" w:rsidR="001964EC" w:rsidRPr="00671E34" w:rsidRDefault="001964EC" w:rsidP="002573AA">
            <w:pPr>
              <w:rPr>
                <w:rFonts w:cs="Arial"/>
                <w:sz w:val="22"/>
              </w:rPr>
            </w:pPr>
            <w:r w:rsidRPr="00671E34">
              <w:rPr>
                <w:rFonts w:cs="Arial"/>
                <w:sz w:val="22"/>
              </w:rPr>
              <w:t>PG Cert/Dip</w:t>
            </w:r>
          </w:p>
        </w:tc>
        <w:tc>
          <w:tcPr>
            <w:tcW w:w="425" w:type="dxa"/>
          </w:tcPr>
          <w:p w14:paraId="235A8168" w14:textId="77777777" w:rsidR="001964EC" w:rsidRPr="00671E34" w:rsidRDefault="001964EC" w:rsidP="002573AA">
            <w:pPr>
              <w:rPr>
                <w:rFonts w:cs="Arial"/>
                <w:sz w:val="22"/>
              </w:rPr>
            </w:pPr>
            <w:r w:rsidRPr="00671E34">
              <w:rPr>
                <w:rFonts w:cs="Arial"/>
                <w:sz w:val="22"/>
              </w:rPr>
              <w:t>7</w:t>
            </w:r>
          </w:p>
        </w:tc>
        <w:tc>
          <w:tcPr>
            <w:tcW w:w="2127" w:type="dxa"/>
          </w:tcPr>
          <w:p w14:paraId="62232D00" w14:textId="77777777" w:rsidR="001964EC" w:rsidRPr="00671E34" w:rsidRDefault="001964EC" w:rsidP="002573AA">
            <w:pPr>
              <w:jc w:val="center"/>
              <w:rPr>
                <w:rFonts w:cs="Arial"/>
                <w:sz w:val="22"/>
              </w:rPr>
            </w:pPr>
            <w:r w:rsidRPr="00671E34">
              <w:rPr>
                <w:rFonts w:cs="Arial"/>
                <w:sz w:val="22"/>
              </w:rPr>
              <w:sym w:font="Wingdings" w:char="F0FC"/>
            </w:r>
          </w:p>
        </w:tc>
        <w:tc>
          <w:tcPr>
            <w:tcW w:w="1554" w:type="dxa"/>
            <w:shd w:val="clear" w:color="auto" w:fill="AEAAAA" w:themeFill="background2" w:themeFillShade="BF"/>
          </w:tcPr>
          <w:p w14:paraId="7A823801" w14:textId="77777777" w:rsidR="001964EC" w:rsidRPr="00671E34" w:rsidRDefault="001964EC" w:rsidP="002573AA">
            <w:pPr>
              <w:rPr>
                <w:rFonts w:cs="Arial"/>
                <w:sz w:val="22"/>
              </w:rPr>
            </w:pPr>
          </w:p>
        </w:tc>
        <w:tc>
          <w:tcPr>
            <w:tcW w:w="1938" w:type="dxa"/>
            <w:shd w:val="clear" w:color="auto" w:fill="AEAAAA" w:themeFill="background2" w:themeFillShade="BF"/>
          </w:tcPr>
          <w:p w14:paraId="70AB8ADA" w14:textId="77777777" w:rsidR="001964EC" w:rsidRPr="00671E34" w:rsidRDefault="001964EC" w:rsidP="002573AA">
            <w:pPr>
              <w:jc w:val="center"/>
              <w:rPr>
                <w:rFonts w:cs="Arial"/>
                <w:sz w:val="22"/>
              </w:rPr>
            </w:pPr>
          </w:p>
        </w:tc>
      </w:tr>
      <w:tr w:rsidR="001964EC" w:rsidRPr="00671E34" w14:paraId="65B9CFFD" w14:textId="77777777" w:rsidTr="001964EC">
        <w:trPr>
          <w:jc w:val="center"/>
        </w:trPr>
        <w:tc>
          <w:tcPr>
            <w:tcW w:w="2972" w:type="dxa"/>
          </w:tcPr>
          <w:p w14:paraId="5139AFBC" w14:textId="77777777" w:rsidR="001964EC" w:rsidRPr="00671E34" w:rsidRDefault="001964EC" w:rsidP="002573AA">
            <w:pPr>
              <w:rPr>
                <w:rFonts w:cs="Arial"/>
                <w:sz w:val="22"/>
              </w:rPr>
            </w:pPr>
            <w:r w:rsidRPr="00671E34">
              <w:rPr>
                <w:rFonts w:cs="Arial"/>
                <w:sz w:val="22"/>
              </w:rPr>
              <w:t>PGCE (Pass or Fail only)</w:t>
            </w:r>
          </w:p>
        </w:tc>
        <w:tc>
          <w:tcPr>
            <w:tcW w:w="425" w:type="dxa"/>
          </w:tcPr>
          <w:p w14:paraId="2D17A786" w14:textId="77777777" w:rsidR="001964EC" w:rsidRPr="00671E34" w:rsidRDefault="001964EC" w:rsidP="002573AA">
            <w:pPr>
              <w:rPr>
                <w:rFonts w:cs="Arial"/>
                <w:sz w:val="22"/>
              </w:rPr>
            </w:pPr>
          </w:p>
        </w:tc>
        <w:tc>
          <w:tcPr>
            <w:tcW w:w="2127" w:type="dxa"/>
            <w:shd w:val="clear" w:color="auto" w:fill="AEAAAA" w:themeFill="background2" w:themeFillShade="BF"/>
          </w:tcPr>
          <w:p w14:paraId="7F828C8D" w14:textId="77777777" w:rsidR="001964EC" w:rsidRPr="00671E34" w:rsidRDefault="001964EC" w:rsidP="002573AA">
            <w:pPr>
              <w:jc w:val="center"/>
              <w:rPr>
                <w:rFonts w:cs="Arial"/>
                <w:sz w:val="22"/>
              </w:rPr>
            </w:pPr>
          </w:p>
        </w:tc>
        <w:tc>
          <w:tcPr>
            <w:tcW w:w="1554" w:type="dxa"/>
            <w:shd w:val="clear" w:color="auto" w:fill="AEAAAA" w:themeFill="background2" w:themeFillShade="BF"/>
          </w:tcPr>
          <w:p w14:paraId="4E570B5C" w14:textId="77777777" w:rsidR="001964EC" w:rsidRPr="00671E34" w:rsidRDefault="001964EC" w:rsidP="002573AA">
            <w:pPr>
              <w:rPr>
                <w:rFonts w:cs="Arial"/>
                <w:sz w:val="22"/>
              </w:rPr>
            </w:pPr>
          </w:p>
        </w:tc>
        <w:tc>
          <w:tcPr>
            <w:tcW w:w="1938" w:type="dxa"/>
            <w:shd w:val="clear" w:color="auto" w:fill="AEAAAA" w:themeFill="background2" w:themeFillShade="BF"/>
          </w:tcPr>
          <w:p w14:paraId="7C5BB849" w14:textId="77777777" w:rsidR="001964EC" w:rsidRPr="00671E34" w:rsidRDefault="001964EC" w:rsidP="002573AA">
            <w:pPr>
              <w:jc w:val="center"/>
              <w:rPr>
                <w:rFonts w:cs="Arial"/>
                <w:sz w:val="22"/>
              </w:rPr>
            </w:pPr>
          </w:p>
        </w:tc>
      </w:tr>
      <w:tr w:rsidR="001964EC" w:rsidRPr="00671E34" w14:paraId="6507C14B" w14:textId="77777777" w:rsidTr="001964EC">
        <w:trPr>
          <w:jc w:val="center"/>
        </w:trPr>
        <w:tc>
          <w:tcPr>
            <w:tcW w:w="2972" w:type="dxa"/>
          </w:tcPr>
          <w:p w14:paraId="246D0656" w14:textId="77777777" w:rsidR="001964EC" w:rsidRPr="00671E34" w:rsidRDefault="001964EC" w:rsidP="002573AA">
            <w:pPr>
              <w:rPr>
                <w:rFonts w:cs="Arial"/>
                <w:sz w:val="22"/>
              </w:rPr>
            </w:pPr>
            <w:r w:rsidRPr="00671E34">
              <w:rPr>
                <w:rFonts w:cs="Arial"/>
                <w:sz w:val="22"/>
              </w:rPr>
              <w:t>Master’s (MA, MSc, MRes)</w:t>
            </w:r>
          </w:p>
        </w:tc>
        <w:tc>
          <w:tcPr>
            <w:tcW w:w="425" w:type="dxa"/>
          </w:tcPr>
          <w:p w14:paraId="0598DA87" w14:textId="77777777" w:rsidR="001964EC" w:rsidRPr="00671E34" w:rsidRDefault="001964EC" w:rsidP="002573AA">
            <w:pPr>
              <w:rPr>
                <w:rFonts w:cs="Arial"/>
                <w:sz w:val="22"/>
              </w:rPr>
            </w:pPr>
            <w:r w:rsidRPr="00671E34">
              <w:rPr>
                <w:rFonts w:cs="Arial"/>
                <w:sz w:val="22"/>
              </w:rPr>
              <w:t>7</w:t>
            </w:r>
          </w:p>
        </w:tc>
        <w:tc>
          <w:tcPr>
            <w:tcW w:w="2127" w:type="dxa"/>
          </w:tcPr>
          <w:p w14:paraId="540412E2" w14:textId="77777777" w:rsidR="001964EC" w:rsidRPr="00671E34" w:rsidRDefault="001964EC" w:rsidP="002573AA">
            <w:pPr>
              <w:jc w:val="center"/>
              <w:rPr>
                <w:rFonts w:cs="Arial"/>
                <w:sz w:val="22"/>
              </w:rPr>
            </w:pPr>
            <w:r w:rsidRPr="00671E34">
              <w:rPr>
                <w:rFonts w:cs="Arial"/>
                <w:sz w:val="22"/>
              </w:rPr>
              <w:sym w:font="Wingdings" w:char="F0FC"/>
            </w:r>
          </w:p>
        </w:tc>
        <w:tc>
          <w:tcPr>
            <w:tcW w:w="1554" w:type="dxa"/>
            <w:shd w:val="clear" w:color="auto" w:fill="AEAAAA" w:themeFill="background2" w:themeFillShade="BF"/>
          </w:tcPr>
          <w:p w14:paraId="3B553787" w14:textId="77777777" w:rsidR="001964EC" w:rsidRPr="00671E34" w:rsidRDefault="001964EC" w:rsidP="002573AA">
            <w:pPr>
              <w:rPr>
                <w:rFonts w:cs="Arial"/>
                <w:sz w:val="22"/>
              </w:rPr>
            </w:pPr>
          </w:p>
        </w:tc>
        <w:tc>
          <w:tcPr>
            <w:tcW w:w="1938" w:type="dxa"/>
          </w:tcPr>
          <w:p w14:paraId="4F3FFE33" w14:textId="77777777" w:rsidR="001964EC" w:rsidRPr="00671E34" w:rsidRDefault="001964EC" w:rsidP="002573AA">
            <w:pPr>
              <w:jc w:val="center"/>
              <w:rPr>
                <w:rFonts w:cs="Arial"/>
                <w:sz w:val="22"/>
              </w:rPr>
            </w:pPr>
            <w:r w:rsidRPr="00671E34">
              <w:rPr>
                <w:rFonts w:cs="Arial"/>
                <w:sz w:val="22"/>
              </w:rPr>
              <w:sym w:font="Wingdings" w:char="F0FC"/>
            </w:r>
          </w:p>
        </w:tc>
      </w:tr>
    </w:tbl>
    <w:p w14:paraId="2A63B787" w14:textId="77777777" w:rsidR="001964EC" w:rsidRPr="001964EC" w:rsidRDefault="001964EC" w:rsidP="001964EC">
      <w:pPr>
        <w:ind w:left="432"/>
        <w:rPr>
          <w:bCs/>
        </w:rPr>
      </w:pPr>
    </w:p>
    <w:p w14:paraId="63514BD3" w14:textId="0D8718C4" w:rsidR="002D7AF0" w:rsidRPr="00121B50" w:rsidRDefault="002D7AF0" w:rsidP="00347206">
      <w:pPr>
        <w:numPr>
          <w:ilvl w:val="0"/>
          <w:numId w:val="36"/>
        </w:numPr>
        <w:rPr>
          <w:b/>
          <w:bCs/>
        </w:rPr>
      </w:pPr>
      <w:r w:rsidRPr="00121B50">
        <w:rPr>
          <w:b/>
          <w:bCs/>
        </w:rPr>
        <w:t>Compensation</w:t>
      </w:r>
    </w:p>
    <w:p w14:paraId="691A219A" w14:textId="3FC31AC0" w:rsidR="00347206" w:rsidRPr="00347206" w:rsidRDefault="00347206" w:rsidP="002D7AF0">
      <w:pPr>
        <w:rPr>
          <w:u w:val="single"/>
        </w:rPr>
      </w:pPr>
      <w:r w:rsidRPr="00347206">
        <w:rPr>
          <w:u w:val="single"/>
        </w:rPr>
        <w:t>What is compensation?</w:t>
      </w:r>
    </w:p>
    <w:p w14:paraId="56C80F29" w14:textId="77777777" w:rsidR="00347206" w:rsidRDefault="002D7AF0" w:rsidP="002D7AF0">
      <w:r w:rsidRPr="00121B50">
        <w:t xml:space="preserve">If </w:t>
      </w:r>
      <w:r w:rsidR="00562B82">
        <w:t xml:space="preserve">a module has been narrowly failed, provided </w:t>
      </w:r>
      <w:r w:rsidRPr="00121B50">
        <w:t xml:space="preserve">an overall average pass mark (40% or more for undergraduate, 50% or more for postgraduate), is </w:t>
      </w:r>
      <w:r w:rsidR="00562B82">
        <w:t xml:space="preserve">achieved </w:t>
      </w:r>
      <w:r w:rsidRPr="00121B50">
        <w:t xml:space="preserve">across the </w:t>
      </w:r>
      <w:r w:rsidR="00562B82">
        <w:t xml:space="preserve">student’s </w:t>
      </w:r>
      <w:r w:rsidRPr="00121B50">
        <w:t>profile</w:t>
      </w:r>
      <w:r w:rsidR="00CC7559">
        <w:t xml:space="preserve"> for that level</w:t>
      </w:r>
      <w:r w:rsidRPr="00121B50">
        <w:t>, an Examination Board may compensate</w:t>
      </w:r>
      <w:r w:rsidR="00CC7559">
        <w:t xml:space="preserve"> the module(s)</w:t>
      </w:r>
      <w:r w:rsidRPr="00121B50">
        <w:t xml:space="preserve"> up to a specified maximum amount of credit</w:t>
      </w:r>
      <w:r w:rsidR="00294F90">
        <w:t>, provided certain criteria are met.</w:t>
      </w:r>
      <w:r w:rsidR="00CC7559">
        <w:t xml:space="preserve"> </w:t>
      </w:r>
    </w:p>
    <w:p w14:paraId="40D6D7B6" w14:textId="0D281C08" w:rsidR="002D7AF0" w:rsidRPr="00121B50" w:rsidRDefault="00CC7559" w:rsidP="002D7AF0">
      <w:r>
        <w:t>This means although a pass mark has not been achieved for the module(s), for the purposes of progression or award, it is agreed as a ‘compensated pass’.</w:t>
      </w:r>
    </w:p>
    <w:p w14:paraId="02096334" w14:textId="573F41F3" w:rsidR="00347206" w:rsidRPr="00347206" w:rsidRDefault="00347206" w:rsidP="002D7AF0">
      <w:pPr>
        <w:rPr>
          <w:u w:val="single"/>
        </w:rPr>
      </w:pPr>
      <w:r w:rsidRPr="00347206">
        <w:rPr>
          <w:u w:val="single"/>
        </w:rPr>
        <w:t>Maximum amount of credit compensated</w:t>
      </w:r>
    </w:p>
    <w:p w14:paraId="22038A87" w14:textId="051F8003" w:rsidR="00347206" w:rsidRDefault="002D7AF0" w:rsidP="002D7AF0">
      <w:r w:rsidRPr="00121B50">
        <w:t xml:space="preserve">The maximum </w:t>
      </w:r>
      <w:r w:rsidR="00CC7559">
        <w:t xml:space="preserve">limit for compensation </w:t>
      </w:r>
      <w:r w:rsidRPr="00121B50">
        <w:t xml:space="preserve">for undergraduate degrees is </w:t>
      </w:r>
      <w:r w:rsidR="00C65509">
        <w:t>40 credits per level</w:t>
      </w:r>
      <w:r w:rsidR="00347206">
        <w:t>.</w:t>
      </w:r>
    </w:p>
    <w:p w14:paraId="0D1E36D7" w14:textId="4CC6460C" w:rsidR="002D7AF0" w:rsidRDefault="002D7AF0" w:rsidP="002D7AF0">
      <w:r w:rsidRPr="00121B50">
        <w:t>For postgraduate taught Master</w:t>
      </w:r>
      <w:r w:rsidR="00347206">
        <w:t>’</w:t>
      </w:r>
      <w:r w:rsidRPr="00121B50">
        <w:t xml:space="preserve">s degrees up to a maximum of 30 credits may be compensated and for Postgraduate Diplomas </w:t>
      </w:r>
      <w:r w:rsidR="00C65509" w:rsidRPr="00121B50">
        <w:t xml:space="preserve">a maximum of 20 credits </w:t>
      </w:r>
      <w:r w:rsidRPr="00121B50">
        <w:t xml:space="preserve">may be compensated. </w:t>
      </w:r>
    </w:p>
    <w:p w14:paraId="36274B3C" w14:textId="77777777" w:rsidR="00347206" w:rsidRPr="00347206" w:rsidRDefault="00347206" w:rsidP="00347206">
      <w:pPr>
        <w:rPr>
          <w:u w:val="single"/>
        </w:rPr>
      </w:pPr>
      <w:r w:rsidRPr="00347206">
        <w:rPr>
          <w:u w:val="single"/>
        </w:rPr>
        <w:t>Are there circumstances when compensation not be applied?</w:t>
      </w:r>
    </w:p>
    <w:p w14:paraId="15BBC040" w14:textId="77777777" w:rsidR="00347206" w:rsidRDefault="00C65509" w:rsidP="00347206">
      <w:pPr>
        <w:pStyle w:val="ListParagraph"/>
        <w:numPr>
          <w:ilvl w:val="0"/>
          <w:numId w:val="34"/>
        </w:numPr>
      </w:pPr>
      <w:r>
        <w:t xml:space="preserve">A module cannot be compensated if </w:t>
      </w:r>
      <w:r w:rsidR="00EA3710">
        <w:t>one or more of the assessments has never been attempted.</w:t>
      </w:r>
    </w:p>
    <w:p w14:paraId="35CB53B4" w14:textId="457ADEA2" w:rsidR="00507CB0" w:rsidRDefault="00507CB0" w:rsidP="00347206">
      <w:pPr>
        <w:pStyle w:val="ListParagraph"/>
        <w:numPr>
          <w:ilvl w:val="0"/>
          <w:numId w:val="34"/>
        </w:numPr>
      </w:pPr>
      <w:r>
        <w:t>Some modules, particularly on professionally accredited programmes, cannot be compensated due to requirements from professional, statutory or regulatory bodies, or due to health and safety reasons.</w:t>
      </w:r>
    </w:p>
    <w:p w14:paraId="15991ADB" w14:textId="5BB44CF0" w:rsidR="00507CB0" w:rsidRDefault="00507CB0" w:rsidP="00347206">
      <w:pPr>
        <w:pStyle w:val="ListParagraph"/>
        <w:numPr>
          <w:ilvl w:val="0"/>
          <w:numId w:val="34"/>
        </w:numPr>
      </w:pPr>
      <w:r>
        <w:lastRenderedPageBreak/>
        <w:t xml:space="preserve">An Exam Board may not compensate a module if it is considered that the student hasn’t met the relevant learning outcomes for the programme. </w:t>
      </w:r>
    </w:p>
    <w:p w14:paraId="1D896796" w14:textId="2722F6F3" w:rsidR="00507CB0" w:rsidRDefault="00507CB0" w:rsidP="00347206">
      <w:pPr>
        <w:pStyle w:val="ListParagraph"/>
        <w:numPr>
          <w:ilvl w:val="0"/>
          <w:numId w:val="34"/>
        </w:numPr>
      </w:pPr>
      <w:r w:rsidRPr="00121B50">
        <w:t xml:space="preserve">For </w:t>
      </w:r>
      <w:r>
        <w:t xml:space="preserve">undergraduate </w:t>
      </w:r>
      <w:r w:rsidR="00347206">
        <w:t>h</w:t>
      </w:r>
      <w:r w:rsidRPr="00121B50">
        <w:t>onours and postgraduate degrees, compensation is not permitted for any compulsory dissertation modules.</w:t>
      </w:r>
    </w:p>
    <w:p w14:paraId="08C1F841" w14:textId="78B0BA9F" w:rsidR="002D7AF0" w:rsidRDefault="002D7AF0" w:rsidP="002D7AF0">
      <w:r w:rsidRPr="00121B50">
        <w:t xml:space="preserve">Modules </w:t>
      </w:r>
      <w:r w:rsidR="00980E9B">
        <w:t xml:space="preserve">which can never be compensated </w:t>
      </w:r>
      <w:r w:rsidRPr="00121B50">
        <w:t xml:space="preserve">will be </w:t>
      </w:r>
      <w:r w:rsidR="00EA3710">
        <w:t xml:space="preserve">highlighted in a </w:t>
      </w:r>
      <w:r w:rsidR="008A1CC2">
        <w:t>p</w:t>
      </w:r>
      <w:r w:rsidR="00EA3710">
        <w:t xml:space="preserve">rogramme handbook. </w:t>
      </w:r>
    </w:p>
    <w:p w14:paraId="145D8F3C" w14:textId="242292AD" w:rsidR="007E2F0E" w:rsidRDefault="0031080D" w:rsidP="007E2F0E">
      <w:r>
        <w:t xml:space="preserve">The details of </w:t>
      </w:r>
      <w:hyperlink r:id="rId15" w:history="1">
        <w:r w:rsidRPr="00DC10E4">
          <w:rPr>
            <w:rStyle w:val="Hyperlink"/>
          </w:rPr>
          <w:t>compensation</w:t>
        </w:r>
      </w:hyperlink>
      <w:r>
        <w:t xml:space="preserve"> are set out in </w:t>
      </w:r>
      <w:r w:rsidR="00EA3710">
        <w:t xml:space="preserve">paragraph </w:t>
      </w:r>
      <w:r w:rsidR="00DC10E4">
        <w:t xml:space="preserve">13 of the </w:t>
      </w:r>
      <w:hyperlink r:id="rId16" w:history="1">
        <w:r w:rsidR="00EA3710" w:rsidRPr="00980E9B">
          <w:rPr>
            <w:rStyle w:val="Hyperlink"/>
          </w:rPr>
          <w:t>Assessment Regulations</w:t>
        </w:r>
      </w:hyperlink>
      <w:r w:rsidR="00EA3710">
        <w:t xml:space="preserve"> within the </w:t>
      </w:r>
      <w:r w:rsidR="00DC10E4">
        <w:t>Academic Handbook</w:t>
      </w:r>
      <w:r w:rsidR="00EA3710">
        <w:t>.</w:t>
      </w:r>
    </w:p>
    <w:p w14:paraId="5D61AF1E" w14:textId="77777777" w:rsidR="007835F4" w:rsidRDefault="007835F4" w:rsidP="007E2F0E"/>
    <w:p w14:paraId="40C4F078" w14:textId="532539BB" w:rsidR="00CD58B6" w:rsidRPr="00CD58B6" w:rsidRDefault="007835F4" w:rsidP="007835F4">
      <w:pPr>
        <w:rPr>
          <w:b/>
          <w:bCs/>
        </w:rPr>
      </w:pPr>
      <w:r>
        <w:rPr>
          <w:b/>
          <w:bCs/>
        </w:rPr>
        <w:t>7.</w:t>
      </w:r>
      <w:r>
        <w:rPr>
          <w:b/>
          <w:bCs/>
        </w:rPr>
        <w:tab/>
      </w:r>
      <w:r w:rsidR="00CD58B6" w:rsidRPr="00CD58B6">
        <w:rPr>
          <w:b/>
          <w:bCs/>
        </w:rPr>
        <w:t>Appeals Procedure (post Examination Board)</w:t>
      </w:r>
    </w:p>
    <w:p w14:paraId="58A96E9F" w14:textId="6B3C45E4" w:rsidR="008A1CC2" w:rsidRDefault="00CD58B6" w:rsidP="00CD58B6">
      <w:r w:rsidRPr="00121B50">
        <w:t>The Appeals Procedure allows students to appeal against a decision of an Examination Board</w:t>
      </w:r>
      <w:r w:rsidR="008A1CC2">
        <w:t xml:space="preserve"> </w:t>
      </w:r>
      <w:r w:rsidR="00CC7559">
        <w:t>(</w:t>
      </w:r>
      <w:r w:rsidR="008A1CC2">
        <w:t>on specific grounds</w:t>
      </w:r>
      <w:r w:rsidR="00CC7559">
        <w:t>)</w:t>
      </w:r>
      <w:r w:rsidRPr="00121B50">
        <w:t>.</w:t>
      </w:r>
    </w:p>
    <w:p w14:paraId="5E4A09A1" w14:textId="025225EE" w:rsidR="00CD58B6" w:rsidRPr="00121B50" w:rsidRDefault="00CD58B6" w:rsidP="00CD58B6">
      <w:r w:rsidRPr="00121B50">
        <w:t xml:space="preserve">Any appeal must be submitted using the </w:t>
      </w:r>
      <w:r w:rsidR="008A1CC2" w:rsidRPr="008A1CC2">
        <w:t>Application for Appeal online form</w:t>
      </w:r>
      <w:r w:rsidRPr="00121B50">
        <w:t xml:space="preserve"> no later than 14 calendar days from the date of notification of results. Results are normally released to the student portal three working days after the </w:t>
      </w:r>
      <w:hyperlink r:id="rId17" w:history="1">
        <w:r w:rsidRPr="00121B50">
          <w:rPr>
            <w:rStyle w:val="Hyperlink"/>
          </w:rPr>
          <w:t xml:space="preserve">Examination </w:t>
        </w:r>
        <w:r w:rsidR="00980E9B">
          <w:rPr>
            <w:rStyle w:val="Hyperlink"/>
          </w:rPr>
          <w:t>B</w:t>
        </w:r>
        <w:r w:rsidRPr="00121B50">
          <w:rPr>
            <w:rStyle w:val="Hyperlink"/>
          </w:rPr>
          <w:t>oard</w:t>
        </w:r>
      </w:hyperlink>
      <w:r w:rsidRPr="00121B50">
        <w:t>.</w:t>
      </w:r>
      <w:r w:rsidR="00980E9B">
        <w:t xml:space="preserve"> </w:t>
      </w:r>
      <w:r w:rsidR="008A1CC2">
        <w:t>The online appeal form, further i</w:t>
      </w:r>
      <w:r w:rsidR="00980E9B">
        <w:t xml:space="preserve">nformation and FAQs relating to Appeals can be found on the </w:t>
      </w:r>
      <w:hyperlink r:id="rId18" w:history="1">
        <w:r w:rsidR="00980E9B" w:rsidRPr="00980E9B">
          <w:rPr>
            <w:rStyle w:val="Hyperlink"/>
          </w:rPr>
          <w:t>Appeals webpage</w:t>
        </w:r>
      </w:hyperlink>
      <w:r w:rsidR="00980E9B">
        <w:t>.</w:t>
      </w:r>
    </w:p>
    <w:p w14:paraId="20820841" w14:textId="77777777" w:rsidR="00CD58B6" w:rsidRPr="00121B50" w:rsidRDefault="00CD58B6" w:rsidP="007E2F0E">
      <w:pPr>
        <w:rPr>
          <w:b/>
          <w:bCs/>
        </w:rPr>
      </w:pPr>
    </w:p>
    <w:sectPr w:rsidR="00CD58B6" w:rsidRPr="00121B50">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E9CA7" w14:textId="77777777" w:rsidR="008920DD" w:rsidRDefault="008920DD" w:rsidP="005D3AB3">
      <w:pPr>
        <w:spacing w:after="0" w:line="240" w:lineRule="auto"/>
      </w:pPr>
      <w:r>
        <w:separator/>
      </w:r>
    </w:p>
  </w:endnote>
  <w:endnote w:type="continuationSeparator" w:id="0">
    <w:p w14:paraId="4E551046" w14:textId="77777777" w:rsidR="008920DD" w:rsidRDefault="008920DD" w:rsidP="005D3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39EF5" w14:textId="2DFFB83C" w:rsidR="007F0D89" w:rsidRPr="007F0D89" w:rsidRDefault="007F0D89">
    <w:pPr>
      <w:pStyle w:val="Footer"/>
      <w:rPr>
        <w:sz w:val="20"/>
        <w:szCs w:val="20"/>
      </w:rPr>
    </w:pPr>
    <w:r w:rsidRPr="007F0D89">
      <w:rPr>
        <w:sz w:val="20"/>
        <w:szCs w:val="20"/>
      </w:rPr>
      <w:t>Cardiff Met Registry Services</w:t>
    </w:r>
  </w:p>
  <w:p w14:paraId="25CC8DD8" w14:textId="59765964" w:rsidR="005D3AB3" w:rsidRPr="007F0D89" w:rsidRDefault="007F0D89">
    <w:pPr>
      <w:pStyle w:val="Footer"/>
      <w:rPr>
        <w:i/>
        <w:sz w:val="20"/>
        <w:szCs w:val="20"/>
      </w:rPr>
    </w:pPr>
    <w:r w:rsidRPr="007F0D89">
      <w:rPr>
        <w:i/>
        <w:sz w:val="20"/>
        <w:szCs w:val="20"/>
      </w:rPr>
      <w:t>Last updated: November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139B8" w14:textId="77777777" w:rsidR="008920DD" w:rsidRDefault="008920DD" w:rsidP="005D3AB3">
      <w:pPr>
        <w:spacing w:after="0" w:line="240" w:lineRule="auto"/>
      </w:pPr>
      <w:r>
        <w:separator/>
      </w:r>
    </w:p>
  </w:footnote>
  <w:footnote w:type="continuationSeparator" w:id="0">
    <w:p w14:paraId="45D12567" w14:textId="77777777" w:rsidR="008920DD" w:rsidRDefault="008920DD" w:rsidP="005D3A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A4493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486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4E05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DCA9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9678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7641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9CBB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321B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6600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D65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A687490"/>
    <w:multiLevelType w:val="hybridMultilevel"/>
    <w:tmpl w:val="4A68D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FC3E75"/>
    <w:multiLevelType w:val="hybridMultilevel"/>
    <w:tmpl w:val="F692E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7C5B1E"/>
    <w:multiLevelType w:val="multilevel"/>
    <w:tmpl w:val="921CA0E4"/>
    <w:lvl w:ilvl="0">
      <w:start w:val="1"/>
      <w:numFmt w:val="decimal"/>
      <w:lvlText w:val="%1."/>
      <w:lvlJc w:val="left"/>
      <w:pPr>
        <w:ind w:left="432" w:hanging="432"/>
      </w:pPr>
      <w:rPr>
        <w:b/>
        <w:bCs/>
        <w:sz w:val="24"/>
        <w:szCs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0205D70"/>
    <w:multiLevelType w:val="hybridMultilevel"/>
    <w:tmpl w:val="BD74B2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3A4D0A"/>
    <w:multiLevelType w:val="hybridMultilevel"/>
    <w:tmpl w:val="95927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F33EB5"/>
    <w:multiLevelType w:val="hybridMultilevel"/>
    <w:tmpl w:val="C9E87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DD2CA3"/>
    <w:multiLevelType w:val="hybridMultilevel"/>
    <w:tmpl w:val="270A1AB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FB4C2C"/>
    <w:multiLevelType w:val="hybridMultilevel"/>
    <w:tmpl w:val="148A3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2073B8"/>
    <w:multiLevelType w:val="hybridMultilevel"/>
    <w:tmpl w:val="71867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F13AEF"/>
    <w:multiLevelType w:val="hybridMultilevel"/>
    <w:tmpl w:val="38BAA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C41FEE"/>
    <w:multiLevelType w:val="multilevel"/>
    <w:tmpl w:val="0E4829A2"/>
    <w:lvl w:ilvl="0">
      <w:start w:val="1"/>
      <w:numFmt w:val="decimal"/>
      <w:pStyle w:val="Heading1"/>
      <w:lvlText w:val="%1"/>
      <w:lvlJc w:val="left"/>
      <w:pPr>
        <w:ind w:left="432" w:hanging="432"/>
      </w:pPr>
      <w:rPr>
        <w:rFonts w:asciiTheme="majorHAnsi" w:eastAsiaTheme="majorEastAsia" w:hAnsiTheme="majorHAnsi" w:cstheme="majorBidi"/>
        <w:b/>
        <w:bCs/>
        <w:sz w:val="24"/>
        <w:szCs w:val="24"/>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73F3010D"/>
    <w:multiLevelType w:val="hybridMultilevel"/>
    <w:tmpl w:val="E152AD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31"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1"/>
  </w:num>
  <w:num w:numId="2">
    <w:abstractNumId w:val="12"/>
  </w:num>
  <w:num w:numId="3">
    <w:abstractNumId w:val="17"/>
  </w:num>
  <w:num w:numId="4">
    <w:abstractNumId w:val="27"/>
  </w:num>
  <w:num w:numId="5">
    <w:abstractNumId w:val="16"/>
  </w:num>
  <w:num w:numId="6">
    <w:abstractNumId w:val="29"/>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21"/>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11"/>
  </w:num>
  <w:num w:numId="22">
    <w:abstractNumId w:val="18"/>
  </w:num>
  <w:num w:numId="23">
    <w:abstractNumId w:val="25"/>
  </w:num>
  <w:num w:numId="24">
    <w:abstractNumId w:val="22"/>
  </w:num>
  <w:num w:numId="25">
    <w:abstractNumId w:val="28"/>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20"/>
  </w:num>
  <w:num w:numId="30">
    <w:abstractNumId w:val="26"/>
  </w:num>
  <w:num w:numId="31">
    <w:abstractNumId w:val="19"/>
  </w:num>
  <w:num w:numId="32">
    <w:abstractNumId w:val="27"/>
    <w:lvlOverride w:ilvl="0">
      <w:startOverride w:val="1"/>
    </w:lvlOverride>
  </w:num>
  <w:num w:numId="33">
    <w:abstractNumId w:val="14"/>
  </w:num>
  <w:num w:numId="34">
    <w:abstractNumId w:val="24"/>
  </w:num>
  <w:num w:numId="35">
    <w:abstractNumId w:val="13"/>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DFB"/>
    <w:rsid w:val="00014CD2"/>
    <w:rsid w:val="00015CC3"/>
    <w:rsid w:val="00033EC4"/>
    <w:rsid w:val="000423C2"/>
    <w:rsid w:val="000457F0"/>
    <w:rsid w:val="00045F8F"/>
    <w:rsid w:val="000525E6"/>
    <w:rsid w:val="00067966"/>
    <w:rsid w:val="000753A8"/>
    <w:rsid w:val="00084894"/>
    <w:rsid w:val="00093AD0"/>
    <w:rsid w:val="0009597B"/>
    <w:rsid w:val="00096435"/>
    <w:rsid w:val="000A137D"/>
    <w:rsid w:val="000A6EAC"/>
    <w:rsid w:val="000B2A00"/>
    <w:rsid w:val="000D0B2C"/>
    <w:rsid w:val="000D23F4"/>
    <w:rsid w:val="000D3EF5"/>
    <w:rsid w:val="000F0838"/>
    <w:rsid w:val="000F13D6"/>
    <w:rsid w:val="000F431D"/>
    <w:rsid w:val="00110B1B"/>
    <w:rsid w:val="001143BE"/>
    <w:rsid w:val="00121B50"/>
    <w:rsid w:val="0012564B"/>
    <w:rsid w:val="00135284"/>
    <w:rsid w:val="001404D9"/>
    <w:rsid w:val="00142EEE"/>
    <w:rsid w:val="0015225C"/>
    <w:rsid w:val="00153F54"/>
    <w:rsid w:val="00161EDB"/>
    <w:rsid w:val="00173448"/>
    <w:rsid w:val="00176A6B"/>
    <w:rsid w:val="001964EC"/>
    <w:rsid w:val="001A52A7"/>
    <w:rsid w:val="001B6874"/>
    <w:rsid w:val="001C0E14"/>
    <w:rsid w:val="001D57B8"/>
    <w:rsid w:val="001D610B"/>
    <w:rsid w:val="001D6885"/>
    <w:rsid w:val="001E09F2"/>
    <w:rsid w:val="001E196D"/>
    <w:rsid w:val="00204559"/>
    <w:rsid w:val="00230D3B"/>
    <w:rsid w:val="00243CE9"/>
    <w:rsid w:val="00252148"/>
    <w:rsid w:val="00257556"/>
    <w:rsid w:val="00261178"/>
    <w:rsid w:val="00263057"/>
    <w:rsid w:val="002766F5"/>
    <w:rsid w:val="00276D78"/>
    <w:rsid w:val="002823CE"/>
    <w:rsid w:val="002844EF"/>
    <w:rsid w:val="00294F90"/>
    <w:rsid w:val="002A54DE"/>
    <w:rsid w:val="002B63D8"/>
    <w:rsid w:val="002B63DB"/>
    <w:rsid w:val="002B6C21"/>
    <w:rsid w:val="002C5D9D"/>
    <w:rsid w:val="002D579E"/>
    <w:rsid w:val="002D7AF0"/>
    <w:rsid w:val="002F3B5B"/>
    <w:rsid w:val="0031080D"/>
    <w:rsid w:val="00310A76"/>
    <w:rsid w:val="003205F6"/>
    <w:rsid w:val="0032264E"/>
    <w:rsid w:val="00346AD8"/>
    <w:rsid w:val="00347206"/>
    <w:rsid w:val="003517FB"/>
    <w:rsid w:val="003526E4"/>
    <w:rsid w:val="00371014"/>
    <w:rsid w:val="003857D8"/>
    <w:rsid w:val="00386933"/>
    <w:rsid w:val="00397455"/>
    <w:rsid w:val="003A43DE"/>
    <w:rsid w:val="003B30EC"/>
    <w:rsid w:val="003C0552"/>
    <w:rsid w:val="003C2126"/>
    <w:rsid w:val="003C4819"/>
    <w:rsid w:val="003D0F54"/>
    <w:rsid w:val="00450992"/>
    <w:rsid w:val="00454793"/>
    <w:rsid w:val="004618C7"/>
    <w:rsid w:val="00464072"/>
    <w:rsid w:val="0047087F"/>
    <w:rsid w:val="004734A0"/>
    <w:rsid w:val="00474958"/>
    <w:rsid w:val="00477892"/>
    <w:rsid w:val="00481135"/>
    <w:rsid w:val="00484F9B"/>
    <w:rsid w:val="004A0911"/>
    <w:rsid w:val="004B0223"/>
    <w:rsid w:val="004B20D0"/>
    <w:rsid w:val="004D10E7"/>
    <w:rsid w:val="004D2DAF"/>
    <w:rsid w:val="004E6F06"/>
    <w:rsid w:val="004F0F43"/>
    <w:rsid w:val="004F3D8E"/>
    <w:rsid w:val="004F40E1"/>
    <w:rsid w:val="004F5BC0"/>
    <w:rsid w:val="005005F9"/>
    <w:rsid w:val="005035F0"/>
    <w:rsid w:val="00503782"/>
    <w:rsid w:val="0050649B"/>
    <w:rsid w:val="00507CB0"/>
    <w:rsid w:val="00511DCA"/>
    <w:rsid w:val="00530F92"/>
    <w:rsid w:val="0053121C"/>
    <w:rsid w:val="0053365E"/>
    <w:rsid w:val="00535A33"/>
    <w:rsid w:val="00537AEA"/>
    <w:rsid w:val="0054428C"/>
    <w:rsid w:val="005462BE"/>
    <w:rsid w:val="0055051B"/>
    <w:rsid w:val="00561E60"/>
    <w:rsid w:val="00562B82"/>
    <w:rsid w:val="0056661F"/>
    <w:rsid w:val="005727BC"/>
    <w:rsid w:val="00574603"/>
    <w:rsid w:val="00584B00"/>
    <w:rsid w:val="00595C53"/>
    <w:rsid w:val="005A5AD5"/>
    <w:rsid w:val="005C1286"/>
    <w:rsid w:val="005C1C0A"/>
    <w:rsid w:val="005C71BE"/>
    <w:rsid w:val="005D3AB3"/>
    <w:rsid w:val="005D3DFB"/>
    <w:rsid w:val="005D691A"/>
    <w:rsid w:val="005E3663"/>
    <w:rsid w:val="0060088D"/>
    <w:rsid w:val="00601CD2"/>
    <w:rsid w:val="00607DF0"/>
    <w:rsid w:val="006112BA"/>
    <w:rsid w:val="00612016"/>
    <w:rsid w:val="006225F7"/>
    <w:rsid w:val="006254C2"/>
    <w:rsid w:val="0062788F"/>
    <w:rsid w:val="00630754"/>
    <w:rsid w:val="00635121"/>
    <w:rsid w:val="00645C47"/>
    <w:rsid w:val="006545B1"/>
    <w:rsid w:val="00654E02"/>
    <w:rsid w:val="006649BD"/>
    <w:rsid w:val="00664D4D"/>
    <w:rsid w:val="00675991"/>
    <w:rsid w:val="00677ACD"/>
    <w:rsid w:val="00684ACE"/>
    <w:rsid w:val="00686B34"/>
    <w:rsid w:val="0069015A"/>
    <w:rsid w:val="006A0052"/>
    <w:rsid w:val="006A4FE6"/>
    <w:rsid w:val="006B33D7"/>
    <w:rsid w:val="006B74E2"/>
    <w:rsid w:val="006C2F61"/>
    <w:rsid w:val="006D6498"/>
    <w:rsid w:val="006E03A1"/>
    <w:rsid w:val="006E2E7D"/>
    <w:rsid w:val="006F343B"/>
    <w:rsid w:val="00700188"/>
    <w:rsid w:val="00704404"/>
    <w:rsid w:val="0070775F"/>
    <w:rsid w:val="0071039C"/>
    <w:rsid w:val="00722FD5"/>
    <w:rsid w:val="0073040B"/>
    <w:rsid w:val="00734D37"/>
    <w:rsid w:val="00735606"/>
    <w:rsid w:val="007639FB"/>
    <w:rsid w:val="007702D4"/>
    <w:rsid w:val="0077217C"/>
    <w:rsid w:val="00777650"/>
    <w:rsid w:val="007835F4"/>
    <w:rsid w:val="00790271"/>
    <w:rsid w:val="007935B6"/>
    <w:rsid w:val="00794712"/>
    <w:rsid w:val="007A0E66"/>
    <w:rsid w:val="007C41A7"/>
    <w:rsid w:val="007C52B7"/>
    <w:rsid w:val="007D5918"/>
    <w:rsid w:val="007D61FF"/>
    <w:rsid w:val="007E2F0E"/>
    <w:rsid w:val="007F0D89"/>
    <w:rsid w:val="007F66B0"/>
    <w:rsid w:val="00803D56"/>
    <w:rsid w:val="0080657A"/>
    <w:rsid w:val="00814966"/>
    <w:rsid w:val="00815A26"/>
    <w:rsid w:val="00821CFC"/>
    <w:rsid w:val="00824DDD"/>
    <w:rsid w:val="00834AFD"/>
    <w:rsid w:val="008355D5"/>
    <w:rsid w:val="00844C82"/>
    <w:rsid w:val="008467C2"/>
    <w:rsid w:val="00854E81"/>
    <w:rsid w:val="00856029"/>
    <w:rsid w:val="008569CD"/>
    <w:rsid w:val="008609C3"/>
    <w:rsid w:val="00862D95"/>
    <w:rsid w:val="00866360"/>
    <w:rsid w:val="00874141"/>
    <w:rsid w:val="00874D8E"/>
    <w:rsid w:val="008816B2"/>
    <w:rsid w:val="0088599E"/>
    <w:rsid w:val="00891365"/>
    <w:rsid w:val="008920DD"/>
    <w:rsid w:val="008A1CC2"/>
    <w:rsid w:val="008C0FF0"/>
    <w:rsid w:val="008C551C"/>
    <w:rsid w:val="008F553A"/>
    <w:rsid w:val="0090444A"/>
    <w:rsid w:val="0090540E"/>
    <w:rsid w:val="0091761E"/>
    <w:rsid w:val="00923FFB"/>
    <w:rsid w:val="009359B4"/>
    <w:rsid w:val="00971EA6"/>
    <w:rsid w:val="00973A5F"/>
    <w:rsid w:val="00973B36"/>
    <w:rsid w:val="00973C73"/>
    <w:rsid w:val="00977DDB"/>
    <w:rsid w:val="0098001E"/>
    <w:rsid w:val="00980E9B"/>
    <w:rsid w:val="00992CE7"/>
    <w:rsid w:val="0099333D"/>
    <w:rsid w:val="00993BF9"/>
    <w:rsid w:val="00997FBB"/>
    <w:rsid w:val="009A3418"/>
    <w:rsid w:val="009A446F"/>
    <w:rsid w:val="009B29DB"/>
    <w:rsid w:val="009C2331"/>
    <w:rsid w:val="009C26A5"/>
    <w:rsid w:val="009C34B4"/>
    <w:rsid w:val="009C4393"/>
    <w:rsid w:val="009D148F"/>
    <w:rsid w:val="009D2881"/>
    <w:rsid w:val="009D4EF7"/>
    <w:rsid w:val="009D4F01"/>
    <w:rsid w:val="009E1A4C"/>
    <w:rsid w:val="009F0AF3"/>
    <w:rsid w:val="009F14F7"/>
    <w:rsid w:val="00A03398"/>
    <w:rsid w:val="00A03F7A"/>
    <w:rsid w:val="00A10647"/>
    <w:rsid w:val="00A17065"/>
    <w:rsid w:val="00A22BC1"/>
    <w:rsid w:val="00A30CA3"/>
    <w:rsid w:val="00A4217B"/>
    <w:rsid w:val="00A4355E"/>
    <w:rsid w:val="00A44F99"/>
    <w:rsid w:val="00A50EFA"/>
    <w:rsid w:val="00A5381C"/>
    <w:rsid w:val="00A612DB"/>
    <w:rsid w:val="00A640A2"/>
    <w:rsid w:val="00A70447"/>
    <w:rsid w:val="00A87285"/>
    <w:rsid w:val="00AB195A"/>
    <w:rsid w:val="00AB7EC7"/>
    <w:rsid w:val="00AD043C"/>
    <w:rsid w:val="00AD1CA8"/>
    <w:rsid w:val="00AD4C56"/>
    <w:rsid w:val="00AE0846"/>
    <w:rsid w:val="00AF6A33"/>
    <w:rsid w:val="00B04A83"/>
    <w:rsid w:val="00B05A36"/>
    <w:rsid w:val="00B1455D"/>
    <w:rsid w:val="00B23877"/>
    <w:rsid w:val="00B35976"/>
    <w:rsid w:val="00B36065"/>
    <w:rsid w:val="00B40F1C"/>
    <w:rsid w:val="00B469EE"/>
    <w:rsid w:val="00B47C56"/>
    <w:rsid w:val="00B528ED"/>
    <w:rsid w:val="00B548D2"/>
    <w:rsid w:val="00B54D4D"/>
    <w:rsid w:val="00B61DB7"/>
    <w:rsid w:val="00B6307B"/>
    <w:rsid w:val="00B75892"/>
    <w:rsid w:val="00B86E39"/>
    <w:rsid w:val="00B92905"/>
    <w:rsid w:val="00B94B58"/>
    <w:rsid w:val="00BA6C69"/>
    <w:rsid w:val="00BB2995"/>
    <w:rsid w:val="00BC77B0"/>
    <w:rsid w:val="00BF2F5B"/>
    <w:rsid w:val="00BF4A7C"/>
    <w:rsid w:val="00C04F28"/>
    <w:rsid w:val="00C05B84"/>
    <w:rsid w:val="00C15270"/>
    <w:rsid w:val="00C24366"/>
    <w:rsid w:val="00C24D8F"/>
    <w:rsid w:val="00C30F00"/>
    <w:rsid w:val="00C341BE"/>
    <w:rsid w:val="00C515A8"/>
    <w:rsid w:val="00C65509"/>
    <w:rsid w:val="00C670C9"/>
    <w:rsid w:val="00C9033A"/>
    <w:rsid w:val="00CA1500"/>
    <w:rsid w:val="00CA6EDB"/>
    <w:rsid w:val="00CB137C"/>
    <w:rsid w:val="00CB1F64"/>
    <w:rsid w:val="00CB52EB"/>
    <w:rsid w:val="00CB5D44"/>
    <w:rsid w:val="00CC3F92"/>
    <w:rsid w:val="00CC7559"/>
    <w:rsid w:val="00CD582A"/>
    <w:rsid w:val="00CD58B6"/>
    <w:rsid w:val="00CE47D3"/>
    <w:rsid w:val="00CE608D"/>
    <w:rsid w:val="00CF25F0"/>
    <w:rsid w:val="00CF46A9"/>
    <w:rsid w:val="00D061C5"/>
    <w:rsid w:val="00D12180"/>
    <w:rsid w:val="00D15438"/>
    <w:rsid w:val="00D447ED"/>
    <w:rsid w:val="00D51074"/>
    <w:rsid w:val="00D5591B"/>
    <w:rsid w:val="00D62C99"/>
    <w:rsid w:val="00D768E2"/>
    <w:rsid w:val="00D80306"/>
    <w:rsid w:val="00D9663B"/>
    <w:rsid w:val="00D973DB"/>
    <w:rsid w:val="00DA7F3A"/>
    <w:rsid w:val="00DC10E4"/>
    <w:rsid w:val="00DC4B47"/>
    <w:rsid w:val="00DD6ACF"/>
    <w:rsid w:val="00E02901"/>
    <w:rsid w:val="00E1375C"/>
    <w:rsid w:val="00E24A5F"/>
    <w:rsid w:val="00E32F49"/>
    <w:rsid w:val="00E34540"/>
    <w:rsid w:val="00E374E4"/>
    <w:rsid w:val="00E40BAE"/>
    <w:rsid w:val="00E53462"/>
    <w:rsid w:val="00E57F14"/>
    <w:rsid w:val="00E61F3E"/>
    <w:rsid w:val="00E734C7"/>
    <w:rsid w:val="00E84FDC"/>
    <w:rsid w:val="00EA3710"/>
    <w:rsid w:val="00EB1A15"/>
    <w:rsid w:val="00EB33B4"/>
    <w:rsid w:val="00ED1374"/>
    <w:rsid w:val="00ED184E"/>
    <w:rsid w:val="00EE0ADC"/>
    <w:rsid w:val="00EE23DF"/>
    <w:rsid w:val="00EE3035"/>
    <w:rsid w:val="00F0179C"/>
    <w:rsid w:val="00F0285E"/>
    <w:rsid w:val="00F04AF2"/>
    <w:rsid w:val="00F07112"/>
    <w:rsid w:val="00F132D0"/>
    <w:rsid w:val="00F17158"/>
    <w:rsid w:val="00F21A75"/>
    <w:rsid w:val="00F314A6"/>
    <w:rsid w:val="00F56CFD"/>
    <w:rsid w:val="00F618BF"/>
    <w:rsid w:val="00F618CF"/>
    <w:rsid w:val="00F7196D"/>
    <w:rsid w:val="00F723F3"/>
    <w:rsid w:val="00F736F4"/>
    <w:rsid w:val="00F74ABA"/>
    <w:rsid w:val="00F77E1A"/>
    <w:rsid w:val="00F84635"/>
    <w:rsid w:val="00F8608F"/>
    <w:rsid w:val="00F90B6F"/>
    <w:rsid w:val="00FA0DCE"/>
    <w:rsid w:val="00FA20F1"/>
    <w:rsid w:val="00FA30DC"/>
    <w:rsid w:val="00FC3576"/>
    <w:rsid w:val="00FC6E7A"/>
    <w:rsid w:val="00FC6EBD"/>
    <w:rsid w:val="00FF11A6"/>
    <w:rsid w:val="00FF2B0C"/>
    <w:rsid w:val="194641A0"/>
    <w:rsid w:val="29A02E05"/>
    <w:rsid w:val="2E4E995D"/>
    <w:rsid w:val="3005B0F2"/>
    <w:rsid w:val="4DAED960"/>
    <w:rsid w:val="4F94E74F"/>
    <w:rsid w:val="54EE8B6B"/>
    <w:rsid w:val="652540AC"/>
    <w:rsid w:val="687E3E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6613A"/>
  <w15:chartTrackingRefBased/>
  <w15:docId w15:val="{66791037-3A93-445A-9CCD-9BD3A5C6C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0EC"/>
    <w:rPr>
      <w:rFonts w:ascii="Arial" w:hAnsi="Arial"/>
      <w:color w:val="222A35" w:themeColor="text2" w:themeShade="80"/>
      <w:sz w:val="24"/>
    </w:rPr>
  </w:style>
  <w:style w:type="paragraph" w:styleId="Heading1">
    <w:name w:val="heading 1"/>
    <w:aliases w:val="Heading 1 (CMU Minutes)"/>
    <w:basedOn w:val="Normal"/>
    <w:next w:val="Normal"/>
    <w:link w:val="Heading1Char"/>
    <w:uiPriority w:val="9"/>
    <w:qFormat/>
    <w:rsid w:val="00595C53"/>
    <w:pPr>
      <w:numPr>
        <w:numId w:val="4"/>
      </w:numPr>
      <w:spacing w:before="240" w:after="0"/>
      <w:outlineLvl w:val="0"/>
    </w:pPr>
    <w:rPr>
      <w:rFonts w:eastAsiaTheme="majorEastAsia" w:cstheme="majorBidi"/>
      <w:color w:val="auto"/>
      <w:sz w:val="28"/>
      <w:szCs w:val="32"/>
    </w:rPr>
  </w:style>
  <w:style w:type="paragraph" w:styleId="Heading2">
    <w:name w:val="heading 2"/>
    <w:aliases w:val="Heading 2 (CMU Minutes)"/>
    <w:basedOn w:val="Normal"/>
    <w:next w:val="Normal"/>
    <w:link w:val="Heading2Char"/>
    <w:uiPriority w:val="9"/>
    <w:unhideWhenUsed/>
    <w:qFormat/>
    <w:rsid w:val="00B92905"/>
    <w:pPr>
      <w:numPr>
        <w:ilvl w:val="1"/>
        <w:numId w:val="4"/>
      </w:numPr>
      <w:spacing w:before="40" w:after="0"/>
      <w:outlineLvl w:val="1"/>
    </w:pPr>
    <w:rPr>
      <w:rFonts w:eastAsiaTheme="majorEastAsia" w:cstheme="majorBidi"/>
      <w:szCs w:val="26"/>
    </w:rPr>
  </w:style>
  <w:style w:type="paragraph" w:styleId="Heading3">
    <w:name w:val="heading 3"/>
    <w:aliases w:val="Heading 3 (CMU Minutes)"/>
    <w:basedOn w:val="Normal"/>
    <w:next w:val="Normal"/>
    <w:link w:val="Heading3Char"/>
    <w:uiPriority w:val="9"/>
    <w:unhideWhenUsed/>
    <w:qFormat/>
    <w:rsid w:val="00AF6A33"/>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3B30EC"/>
    <w:pPr>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3B30EC"/>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3B30EC"/>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5C53"/>
    <w:pPr>
      <w:spacing w:after="0" w:line="240" w:lineRule="auto"/>
      <w:contextualSpacing/>
    </w:pPr>
    <w:rPr>
      <w:rFonts w:eastAsiaTheme="majorEastAsia" w:cstheme="majorBidi"/>
      <w:color w:val="auto"/>
      <w:spacing w:val="-10"/>
      <w:kern w:val="28"/>
      <w:sz w:val="48"/>
      <w:szCs w:val="56"/>
    </w:rPr>
  </w:style>
  <w:style w:type="character" w:customStyle="1" w:styleId="TitleChar">
    <w:name w:val="Title Char"/>
    <w:basedOn w:val="DefaultParagraphFont"/>
    <w:link w:val="Title"/>
    <w:uiPriority w:val="10"/>
    <w:rsid w:val="00595C53"/>
    <w:rPr>
      <w:rFonts w:ascii="Arial" w:eastAsiaTheme="majorEastAsia" w:hAnsi="Arial" w:cstheme="majorBidi"/>
      <w:spacing w:val="-10"/>
      <w:kern w:val="28"/>
      <w:sz w:val="48"/>
      <w:szCs w:val="56"/>
    </w:rPr>
  </w:style>
  <w:style w:type="character" w:customStyle="1" w:styleId="Heading1Char">
    <w:name w:val="Heading 1 Char"/>
    <w:aliases w:val="Heading 1 (CMU Minutes) Char"/>
    <w:basedOn w:val="DefaultParagraphFont"/>
    <w:link w:val="Heading1"/>
    <w:uiPriority w:val="9"/>
    <w:rsid w:val="00595C53"/>
    <w:rPr>
      <w:rFonts w:ascii="Arial" w:eastAsiaTheme="majorEastAsia" w:hAnsi="Arial" w:cstheme="majorBidi"/>
      <w:sz w:val="28"/>
      <w:szCs w:val="32"/>
    </w:rPr>
  </w:style>
  <w:style w:type="character" w:customStyle="1" w:styleId="Heading2Char">
    <w:name w:val="Heading 2 Char"/>
    <w:aliases w:val="Heading 2 (CMU Minutes) Char"/>
    <w:basedOn w:val="DefaultParagraphFont"/>
    <w:link w:val="Heading2"/>
    <w:uiPriority w:val="9"/>
    <w:rsid w:val="00B92905"/>
    <w:rPr>
      <w:rFonts w:ascii="Arial" w:eastAsiaTheme="majorEastAsia" w:hAnsi="Arial" w:cstheme="majorBidi"/>
      <w:color w:val="222A35" w:themeColor="text2" w:themeShade="80"/>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F6A33"/>
    <w:rPr>
      <w:rFonts w:eastAsiaTheme="majorEastAsia"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3B30EC"/>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3B30EC"/>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3B30EC"/>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EE23DF"/>
    <w:rPr>
      <w:i/>
      <w:iCs/>
      <w:color w:val="404040" w:themeColor="text1" w:themeTint="BF"/>
    </w:rPr>
  </w:style>
  <w:style w:type="paragraph" w:customStyle="1" w:styleId="ActionPoints">
    <w:name w:val="Action Points"/>
    <w:basedOn w:val="Heading2"/>
    <w:qFormat/>
    <w:rsid w:val="003B30EC"/>
    <w:pPr>
      <w:numPr>
        <w:ilvl w:val="0"/>
        <w:numId w:val="22"/>
      </w:numPr>
    </w:pPr>
  </w:style>
  <w:style w:type="paragraph" w:styleId="Header">
    <w:name w:val="header"/>
    <w:basedOn w:val="Normal"/>
    <w:link w:val="HeaderChar"/>
    <w:uiPriority w:val="99"/>
    <w:unhideWhenUsed/>
    <w:rsid w:val="005D3A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AB3"/>
  </w:style>
  <w:style w:type="paragraph" w:styleId="Footer">
    <w:name w:val="footer"/>
    <w:basedOn w:val="Normal"/>
    <w:link w:val="FooterChar"/>
    <w:uiPriority w:val="99"/>
    <w:unhideWhenUsed/>
    <w:rsid w:val="005D3A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AB3"/>
  </w:style>
  <w:style w:type="character" w:customStyle="1" w:styleId="UnresolvedMention1">
    <w:name w:val="Unresolved Mention1"/>
    <w:basedOn w:val="DefaultParagraphFont"/>
    <w:uiPriority w:val="99"/>
    <w:semiHidden/>
    <w:unhideWhenUsed/>
    <w:rsid w:val="0053121C"/>
    <w:rPr>
      <w:color w:val="605E5C"/>
      <w:shd w:val="clear" w:color="auto" w:fill="E1DFDD"/>
    </w:rPr>
  </w:style>
  <w:style w:type="table" w:styleId="TableGrid">
    <w:name w:val="Table Grid"/>
    <w:basedOn w:val="TableNormal"/>
    <w:uiPriority w:val="39"/>
    <w:rsid w:val="000A6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C15270"/>
    <w:rPr>
      <w:color w:val="605E5C"/>
      <w:shd w:val="clear" w:color="auto" w:fill="E1DFDD"/>
    </w:rPr>
  </w:style>
  <w:style w:type="character" w:styleId="FollowedHyperlink">
    <w:name w:val="FollowedHyperlink"/>
    <w:basedOn w:val="DefaultParagraphFont"/>
    <w:uiPriority w:val="99"/>
    <w:semiHidden/>
    <w:unhideWhenUsed/>
    <w:rsid w:val="00EE30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ffmet.ac.uk/registry/academichandbook/Documents/AH1_05_01E.docx" TargetMode="External"/><Relationship Id="rId18" Type="http://schemas.openxmlformats.org/officeDocument/2006/relationships/hyperlink" Target="https://www.cardiffmet.ac.uk/registry/Pages/appeals.asp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ardiffmetsu.co.uk/support/" TargetMode="External"/><Relationship Id="rId17" Type="http://schemas.openxmlformats.org/officeDocument/2006/relationships/hyperlink" Target="https://www.cardiffmet.ac.uk/registry/exams/Pages/Examination-Boards.aspx" TargetMode="External"/><Relationship Id="rId2" Type="http://schemas.openxmlformats.org/officeDocument/2006/relationships/customXml" Target="../customXml/item2.xml"/><Relationship Id="rId16" Type="http://schemas.openxmlformats.org/officeDocument/2006/relationships/hyperlink" Target="https://www.cardiffmet.ac.uk/registry/academichandbook/Documents/AH1_04_01.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utlookuwicac.sharepoint.com/sites/students/SitePages/Support/Home.aspx" TargetMode="External"/><Relationship Id="rId5" Type="http://schemas.openxmlformats.org/officeDocument/2006/relationships/numbering" Target="numbering.xml"/><Relationship Id="rId15" Type="http://schemas.openxmlformats.org/officeDocument/2006/relationships/hyperlink" Target="https://www.cardiffmet.ac.uk/registry/academichandbook/Documents/AH1_04_01.docx"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diffmet.ac.uk/registry/academichandbook/Pages/Ah1_0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8F0061C9524C4491CB1B9349809361" ma:contentTypeVersion="1" ma:contentTypeDescription="Create a new document." ma:contentTypeScope="" ma:versionID="3c28f0fe70781c03f05db6fbeb261573">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900D4-20EC-4858-96D9-CEF85659E00D}">
  <ds:schemaRefs>
    <ds:schemaRef ds:uri="http://purl.org/dc/dcmitype/"/>
    <ds:schemaRef ds:uri="http://www.w3.org/XML/1998/namespace"/>
    <ds:schemaRef ds:uri="http://schemas.microsoft.com/office/2006/metadata/properties"/>
    <ds:schemaRef ds:uri="http://purl.org/dc/term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286e2e22-220c-4086-bbb8-16929b336d9d"/>
    <ds:schemaRef ds:uri="655c9394-2770-4d42-b33a-97094cd46204"/>
  </ds:schemaRefs>
</ds:datastoreItem>
</file>

<file path=customXml/itemProps2.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3.xml><?xml version="1.0" encoding="utf-8"?>
<ds:datastoreItem xmlns:ds="http://schemas.openxmlformats.org/officeDocument/2006/customXml" ds:itemID="{CB476F00-5730-4C37-9152-B45A439AEBD5}"/>
</file>

<file path=customXml/itemProps4.xml><?xml version="1.0" encoding="utf-8"?>
<ds:datastoreItem xmlns:ds="http://schemas.openxmlformats.org/officeDocument/2006/customXml" ds:itemID="{9F3475F5-2B59-4156-B695-7ABFCACB1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4</Pages>
  <Words>1096</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Williams, Abigail</cp:lastModifiedBy>
  <cp:revision>12</cp:revision>
  <dcterms:created xsi:type="dcterms:W3CDTF">2022-11-15T15:21:00Z</dcterms:created>
  <dcterms:modified xsi:type="dcterms:W3CDTF">2022-11-17T09:26:00Z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0x0101009E8F0061C9524C4491CB1B9349809361</vt:lpwstr>
  </property>
  <property fmtid="{D5CDD505-2E9C-101B-9397-08002B2CF9AE}" pid="3" name="Order">
    <vt:r8>5000</vt:r8>
  </property>
  <property fmtid="{D5CDD505-2E9C-101B-9397-08002B2CF9AE}" pid="4" name="xd_Signature">
    <vt:bool>false</vt:bool>
  </property>
  <property fmtid="{D5CDD505-2E9C-101B-9397-08002B2CF9AE}" pid="5" name="xd_ProgID">
    <vt:lpwstr/>
  </property>
  <property fmtid="{D5CDD505-2E9C-101B-9397-08002B2CF9AE}" pid="6" name="SharedWithUsers">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