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7A9B72FC" w:rsidR="00B75892" w:rsidRDefault="006113A8" w:rsidP="002D02DA">
      <w:pPr>
        <w:pStyle w:val="Title"/>
        <w:jc w:val="center"/>
      </w:pPr>
      <w:r>
        <w:t xml:space="preserve">Relocation </w:t>
      </w:r>
      <w:r w:rsidR="001120FF">
        <w:t xml:space="preserve">Expenses </w:t>
      </w:r>
      <w:r w:rsidR="6D423ECC">
        <w:t xml:space="preserve">Reimbursement </w:t>
      </w:r>
      <w:r>
        <w:t>Policy</w:t>
      </w:r>
    </w:p>
    <w:p w14:paraId="4EE2EE4E" w14:textId="16EFED09" w:rsidR="00E62C64" w:rsidRPr="00104DCF" w:rsidRDefault="00E62C64" w:rsidP="00104DCF">
      <w:pPr>
        <w:pStyle w:val="Heading1"/>
        <w:numPr>
          <w:ilvl w:val="0"/>
          <w:numId w:val="0"/>
        </w:numPr>
        <w:ind w:left="432" w:hanging="432"/>
        <w:rPr>
          <w:color w:val="auto"/>
        </w:rPr>
      </w:pPr>
      <w:bookmarkStart w:id="0" w:name="_Toc75950285"/>
      <w:bookmarkStart w:id="1" w:name="_Toc75950366"/>
      <w:bookmarkStart w:id="2" w:name="_Toc77936657"/>
      <w:bookmarkStart w:id="3" w:name="_Toc201138547"/>
      <w:r w:rsidRPr="00104DCF">
        <w:rPr>
          <w:color w:val="auto"/>
        </w:rP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314282CA" w:rsidR="005D0B18" w:rsidRPr="00D9301C" w:rsidRDefault="006113A8" w:rsidP="00E62C64">
            <w:pPr>
              <w:rPr>
                <w:rStyle w:val="SubtleEmphasis"/>
              </w:rPr>
            </w:pPr>
            <w:r>
              <w:rPr>
                <w:rStyle w:val="SubtleEmphasis"/>
              </w:rPr>
              <w:t xml:space="preserve">Relocation </w:t>
            </w:r>
            <w:r w:rsidR="001120FF">
              <w:rPr>
                <w:rStyle w:val="SubtleEmphasis"/>
              </w:rPr>
              <w:t xml:space="preserve">Expenses </w:t>
            </w:r>
            <w:r w:rsidR="008419DC">
              <w:rPr>
                <w:rStyle w:val="SubtleEmphasis"/>
              </w:rPr>
              <w:t xml:space="preserve">Reimbursement </w:t>
            </w:r>
            <w:r>
              <w:rPr>
                <w:rStyle w:val="SubtleEmphasis"/>
              </w:rPr>
              <w:t>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6579D5BC" w:rsidR="00424E11" w:rsidRPr="00D9301C" w:rsidRDefault="008824CA" w:rsidP="00E62C64">
            <w:pPr>
              <w:rPr>
                <w:rStyle w:val="SubtleEmphasis"/>
              </w:rPr>
            </w:pPr>
            <w:r>
              <w:rPr>
                <w:rStyle w:val="SubtleEmphasis"/>
              </w:rPr>
              <w:t>6 November 2024</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36EE672A" w:rsidR="00424E11" w:rsidRPr="00D9301C" w:rsidRDefault="00855602" w:rsidP="00E62C64">
            <w:pPr>
              <w:rPr>
                <w:rStyle w:val="SubtleEmphasis"/>
              </w:rPr>
            </w:pPr>
            <w:r>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3E3FFAB4" w:rsidR="00424E11" w:rsidRPr="00D9301C" w:rsidRDefault="001E7E00" w:rsidP="00E62C64">
            <w:pPr>
              <w:rPr>
                <w:rStyle w:val="SubtleEmphasis"/>
              </w:rPr>
            </w:pPr>
            <w:r>
              <w:rPr>
                <w:rStyle w:val="SubtleEmphasis"/>
              </w:rPr>
              <w:t>2.0</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75E7A368" w:rsidR="00424E11" w:rsidRPr="00D9301C" w:rsidRDefault="006113A8" w:rsidP="00E62C64">
            <w:pPr>
              <w:rPr>
                <w:rStyle w:val="SubtleEmphasis"/>
              </w:rPr>
            </w:pPr>
            <w:r>
              <w:rPr>
                <w:rStyle w:val="SubtleEmphasis"/>
              </w:rPr>
              <w:t>Ju</w:t>
            </w:r>
            <w:r w:rsidR="007A441E">
              <w:rPr>
                <w:rStyle w:val="SubtleEmphasis"/>
              </w:rPr>
              <w:t>ne</w:t>
            </w:r>
            <w:r>
              <w:rPr>
                <w:rStyle w:val="SubtleEmphasis"/>
              </w:rPr>
              <w:t xml:space="preserve"> 202</w:t>
            </w:r>
            <w:r w:rsidR="007A441E">
              <w:rPr>
                <w:rStyle w:val="SubtleEmphasis"/>
              </w:rPr>
              <w:t>2</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592504B6" w:rsidR="00424E11" w:rsidRPr="00D9301C" w:rsidRDefault="008824CA" w:rsidP="00E62C64">
            <w:pPr>
              <w:rPr>
                <w:rStyle w:val="SubtleEmphasis"/>
              </w:rPr>
            </w:pPr>
            <w:r>
              <w:rPr>
                <w:rStyle w:val="SubtleEmphasis"/>
              </w:rPr>
              <w:t>November</w:t>
            </w:r>
            <w:r w:rsidR="001E2CD1">
              <w:rPr>
                <w:rStyle w:val="SubtleEmphasis"/>
              </w:rPr>
              <w:t xml:space="preserve"> 2027</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28EC7C17" w:rsidR="00424E11" w:rsidRPr="00D9301C" w:rsidRDefault="006113A8" w:rsidP="00D9301C">
            <w:pPr>
              <w:rPr>
                <w:rStyle w:val="SubtleEmphasis"/>
              </w:rPr>
            </w:pPr>
            <w:r>
              <w:rPr>
                <w:rStyle w:val="SubtleEmphasis"/>
              </w:rPr>
              <w:t>No major change</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5B3875AC" w:rsidR="00424E11" w:rsidRPr="00D9301C" w:rsidRDefault="00695443" w:rsidP="00E62C64">
            <w:pPr>
              <w:rPr>
                <w:rStyle w:val="SubtleEmphasis"/>
              </w:rPr>
            </w:pPr>
            <w:r w:rsidRPr="00695443">
              <w:rPr>
                <w:rStyle w:val="SubtleEmphasis"/>
              </w:rPr>
              <w:t>UK VISA and Immigration (UKVI)  </w:t>
            </w:r>
            <w:r w:rsidRPr="00695443">
              <w:rPr>
                <w:rStyle w:val="SubtleEmphasis"/>
              </w:rPr>
              <w:br/>
              <w:t>Sponsorship and Financial Support</w:t>
            </w:r>
            <w:r w:rsidR="001A38D0">
              <w:rPr>
                <w:rStyle w:val="SubtleEmphasis"/>
              </w:rPr>
              <w:t xml:space="preserve"> </w:t>
            </w:r>
            <w:r w:rsidRPr="00695443">
              <w:rPr>
                <w:rStyle w:val="SubtleEmphasis"/>
              </w:rPr>
              <w:t>Policy</w:t>
            </w:r>
            <w:r w:rsidR="00FE5F45">
              <w:rPr>
                <w:rStyle w:val="SubtleEmphasis"/>
              </w:rPr>
              <w:t xml:space="preserve"> (new)</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5FD73EA5" w:rsidR="00424E11" w:rsidRPr="00D9301C" w:rsidRDefault="009214B7" w:rsidP="00E62C64">
            <w:pPr>
              <w:rPr>
                <w:rStyle w:val="SubtleEmphasis"/>
              </w:rPr>
            </w:pPr>
            <w:r>
              <w:rPr>
                <w:rStyle w:val="SubtleEmphasis"/>
              </w:rPr>
              <w:t>6 November</w:t>
            </w:r>
            <w:r w:rsidR="006113A8">
              <w:rPr>
                <w:rStyle w:val="SubtleEmphasis"/>
              </w:rPr>
              <w:t xml:space="preserve"> 202</w:t>
            </w:r>
            <w:r w:rsidR="001E7E00">
              <w:rPr>
                <w:rStyle w:val="SubtleEmphasis"/>
              </w:rPr>
              <w:t>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45D3A2C9" w:rsidR="00424E11" w:rsidRPr="00D9301C" w:rsidRDefault="00B33BAE" w:rsidP="00E62C64">
            <w:pPr>
              <w:rPr>
                <w:rStyle w:val="SubtleEmphasis"/>
              </w:rPr>
            </w:pPr>
            <w:r>
              <w:rPr>
                <w:rStyle w:val="SubtleEmphasis"/>
              </w:rPr>
              <w:t>Chief Officer Resources</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0E362E91" w:rsidR="00424E11" w:rsidRPr="00D9301C" w:rsidRDefault="006113A8" w:rsidP="00E62C64">
            <w:pPr>
              <w:rPr>
                <w:rStyle w:val="SubtleEmphasis"/>
              </w:rPr>
            </w:pPr>
            <w:r>
              <w:rPr>
                <w:rStyle w:val="SubtleEmphasis"/>
              </w:rPr>
              <w:t>People Services</w:t>
            </w:r>
            <w:r w:rsidR="00A0502C">
              <w:rPr>
                <w:rStyle w:val="SubtleEmphasis"/>
              </w:rPr>
              <w:t xml:space="preserve"> </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1F9B3B55" w:rsidR="00424E11" w:rsidRPr="00D9301C" w:rsidRDefault="00D965EA" w:rsidP="00E62C64">
            <w:pPr>
              <w:rPr>
                <w:rStyle w:val="SubtleEmphasis"/>
              </w:rPr>
            </w:pPr>
            <w:hyperlink r:id="rId12" w:history="1">
              <w:r w:rsidRPr="00485A6F">
                <w:rPr>
                  <w:rStyle w:val="Hyperlink"/>
                </w:rPr>
                <w:t>lstrange@cardiffmet.ac.uk</w:t>
              </w:r>
            </w:hyperlink>
            <w:r>
              <w:rPr>
                <w:rStyle w:val="SubtleEmphasis"/>
              </w:rPr>
              <w:t xml:space="preserve"> </w:t>
            </w:r>
          </w:p>
        </w:tc>
      </w:tr>
    </w:tbl>
    <w:p w14:paraId="34FF043D" w14:textId="115BE5C9" w:rsidR="0098001E" w:rsidRDefault="00EE23DF" w:rsidP="005D0B18">
      <w:pPr>
        <w:rPr>
          <w:rStyle w:val="SubtleEmphasis"/>
        </w:rPr>
      </w:pPr>
      <w:r>
        <w:rPr>
          <w:rStyle w:val="SubtleEmphasis"/>
        </w:rPr>
        <w:t xml:space="preserve"> </w:t>
      </w:r>
    </w:p>
    <w:p w14:paraId="26422EA8" w14:textId="0CE14575" w:rsidR="00E62C64" w:rsidRPr="00104DCF" w:rsidRDefault="00104DCF" w:rsidP="00104DCF">
      <w:pPr>
        <w:pStyle w:val="Heading1"/>
        <w:numPr>
          <w:ilvl w:val="0"/>
          <w:numId w:val="0"/>
        </w:numPr>
        <w:ind w:left="432" w:hanging="432"/>
        <w:rPr>
          <w:color w:val="auto"/>
        </w:rPr>
      </w:pPr>
      <w:bookmarkStart w:id="4" w:name="_Toc201138548"/>
      <w:r w:rsidRPr="00104DCF">
        <w:rPr>
          <w:color w:val="auto"/>
        </w:rP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52676FED" w:rsidR="00376449" w:rsidRPr="00CD441C" w:rsidRDefault="00CD441C" w:rsidP="00376449">
            <w:pPr>
              <w:rPr>
                <w:rStyle w:val="SubtleEmphasis"/>
              </w:rPr>
            </w:pPr>
            <w:r>
              <w:rPr>
                <w:rStyle w:val="SubtleEmphasis"/>
              </w:rPr>
              <w:t>00 Month 0000</w:t>
            </w:r>
          </w:p>
        </w:tc>
        <w:tc>
          <w:tcPr>
            <w:tcW w:w="3006" w:type="dxa"/>
          </w:tcPr>
          <w:p w14:paraId="619AEAD7" w14:textId="02199955" w:rsidR="00376449" w:rsidRPr="00CD441C" w:rsidRDefault="00CD6261" w:rsidP="00376449">
            <w:pPr>
              <w:rPr>
                <w:rStyle w:val="SubtleEmphasis"/>
              </w:rPr>
            </w:pPr>
            <w:r>
              <w:rPr>
                <w:rStyle w:val="SubtleEmphasis"/>
              </w:rPr>
              <w:t>Update to contact details and delegated authority guidance.</w:t>
            </w:r>
          </w:p>
        </w:tc>
      </w:tr>
      <w:tr w:rsidR="00376449" w14:paraId="2B43271D" w14:textId="77777777" w:rsidTr="00376449">
        <w:tc>
          <w:tcPr>
            <w:tcW w:w="3005" w:type="dxa"/>
          </w:tcPr>
          <w:p w14:paraId="459358E4" w14:textId="0A143ED3" w:rsidR="00376449" w:rsidRPr="00CD441C" w:rsidRDefault="00CD441C" w:rsidP="00376449">
            <w:pPr>
              <w:rPr>
                <w:rStyle w:val="SubtleEmphasis"/>
              </w:rPr>
            </w:pPr>
            <w:r>
              <w:rPr>
                <w:rStyle w:val="SubtleEmphasis"/>
              </w:rPr>
              <w:t>1.1</w:t>
            </w:r>
          </w:p>
        </w:tc>
        <w:tc>
          <w:tcPr>
            <w:tcW w:w="3005" w:type="dxa"/>
          </w:tcPr>
          <w:p w14:paraId="40C609B4" w14:textId="7CB43C07" w:rsidR="00376449" w:rsidRPr="00CD441C" w:rsidRDefault="00CD441C" w:rsidP="00376449">
            <w:pPr>
              <w:rPr>
                <w:rStyle w:val="SubtleEmphasis"/>
              </w:rPr>
            </w:pPr>
            <w:r>
              <w:rPr>
                <w:rStyle w:val="SubtleEmphasis"/>
              </w:rPr>
              <w:t>00 Month 0000</w:t>
            </w:r>
          </w:p>
        </w:tc>
        <w:tc>
          <w:tcPr>
            <w:tcW w:w="3006" w:type="dxa"/>
          </w:tcPr>
          <w:p w14:paraId="086F274B" w14:textId="24446A9A" w:rsidR="00376449" w:rsidRPr="00CD441C" w:rsidRDefault="00CD6261" w:rsidP="00376449">
            <w:pPr>
              <w:rPr>
                <w:rStyle w:val="SubtleEmphasis"/>
              </w:rPr>
            </w:pPr>
            <w:r>
              <w:rPr>
                <w:rStyle w:val="SubtleEmphasis"/>
              </w:rPr>
              <w:t>Removal of visa cost exclusion</w:t>
            </w:r>
          </w:p>
        </w:tc>
      </w:tr>
      <w:tr w:rsidR="00CD441C" w14:paraId="3B0166AB" w14:textId="77777777" w:rsidTr="00376449">
        <w:tc>
          <w:tcPr>
            <w:tcW w:w="3005" w:type="dxa"/>
          </w:tcPr>
          <w:p w14:paraId="0733712B" w14:textId="22E13C3F" w:rsidR="00CD441C" w:rsidRDefault="00CD441C" w:rsidP="00376449">
            <w:pPr>
              <w:rPr>
                <w:rStyle w:val="SubtleEmphasis"/>
              </w:rPr>
            </w:pPr>
            <w:r>
              <w:rPr>
                <w:rStyle w:val="SubtleEmphasis"/>
              </w:rPr>
              <w:t>1.2</w:t>
            </w:r>
          </w:p>
        </w:tc>
        <w:tc>
          <w:tcPr>
            <w:tcW w:w="3005" w:type="dxa"/>
          </w:tcPr>
          <w:p w14:paraId="5B892655" w14:textId="10049E0E" w:rsidR="00CD441C" w:rsidRPr="00CD441C" w:rsidRDefault="00CD441C" w:rsidP="00376449">
            <w:pPr>
              <w:rPr>
                <w:rStyle w:val="SubtleEmphasis"/>
              </w:rPr>
            </w:pPr>
            <w:r>
              <w:rPr>
                <w:rStyle w:val="SubtleEmphasis"/>
              </w:rPr>
              <w:t>00 Month 0000</w:t>
            </w:r>
          </w:p>
        </w:tc>
        <w:tc>
          <w:tcPr>
            <w:tcW w:w="3006" w:type="dxa"/>
          </w:tcPr>
          <w:p w14:paraId="37906F0F" w14:textId="55C53010" w:rsidR="00CD441C" w:rsidRPr="00CD441C" w:rsidRDefault="00CD6261" w:rsidP="00376449">
            <w:pPr>
              <w:rPr>
                <w:rStyle w:val="SubtleEmphasis"/>
              </w:rPr>
            </w:pPr>
            <w:r>
              <w:rPr>
                <w:rStyle w:val="SubtleEmphasis"/>
              </w:rPr>
              <w:t>Introduction of international allowance</w:t>
            </w:r>
          </w:p>
        </w:tc>
      </w:tr>
      <w:tr w:rsidR="00CD441C" w14:paraId="07106E38" w14:textId="77777777" w:rsidTr="00376449">
        <w:tc>
          <w:tcPr>
            <w:tcW w:w="3005" w:type="dxa"/>
          </w:tcPr>
          <w:p w14:paraId="6ABD9559" w14:textId="365DA90C" w:rsidR="00CD441C" w:rsidRDefault="006113A8" w:rsidP="00376449">
            <w:pPr>
              <w:rPr>
                <w:rStyle w:val="SubtleEmphasis"/>
              </w:rPr>
            </w:pPr>
            <w:r>
              <w:rPr>
                <w:rStyle w:val="SubtleEmphasis"/>
              </w:rPr>
              <w:t>1.</w:t>
            </w:r>
            <w:r w:rsidR="007A441E">
              <w:rPr>
                <w:rStyle w:val="SubtleEmphasis"/>
              </w:rPr>
              <w:t>3</w:t>
            </w:r>
          </w:p>
        </w:tc>
        <w:tc>
          <w:tcPr>
            <w:tcW w:w="3005" w:type="dxa"/>
          </w:tcPr>
          <w:p w14:paraId="06176E19" w14:textId="110F2CB2" w:rsidR="00CD441C" w:rsidRPr="00CD441C" w:rsidRDefault="006113A8" w:rsidP="00376449">
            <w:pPr>
              <w:rPr>
                <w:rStyle w:val="SubtleEmphasis"/>
              </w:rPr>
            </w:pPr>
            <w:r>
              <w:rPr>
                <w:rStyle w:val="SubtleEmphasis"/>
              </w:rPr>
              <w:t>June 2022</w:t>
            </w:r>
          </w:p>
        </w:tc>
        <w:tc>
          <w:tcPr>
            <w:tcW w:w="3006" w:type="dxa"/>
          </w:tcPr>
          <w:p w14:paraId="4BE764BC" w14:textId="38E082C6" w:rsidR="00CD441C" w:rsidRPr="00CD441C" w:rsidRDefault="006113A8" w:rsidP="00376449">
            <w:pPr>
              <w:rPr>
                <w:rStyle w:val="SubtleEmphasis"/>
              </w:rPr>
            </w:pPr>
            <w:r w:rsidRPr="00CD6261">
              <w:rPr>
                <w:rStyle w:val="SubtleEmphasis"/>
                <w:color w:val="auto"/>
              </w:rPr>
              <w:t>Policy updated to accommodate all grades of staff</w:t>
            </w:r>
            <w:r w:rsidR="00B0766D" w:rsidRPr="00CD6261">
              <w:rPr>
                <w:rStyle w:val="SubtleEmphasis"/>
                <w:color w:val="auto"/>
              </w:rPr>
              <w:t xml:space="preserve"> </w:t>
            </w:r>
          </w:p>
        </w:tc>
      </w:tr>
      <w:tr w:rsidR="001E2CD1" w14:paraId="17032810" w14:textId="77777777" w:rsidTr="00376449">
        <w:tc>
          <w:tcPr>
            <w:tcW w:w="3005" w:type="dxa"/>
          </w:tcPr>
          <w:p w14:paraId="0146ADBA" w14:textId="35127D05" w:rsidR="001E2CD1" w:rsidRDefault="001E2CD1" w:rsidP="00376449">
            <w:pPr>
              <w:rPr>
                <w:rStyle w:val="SubtleEmphasis"/>
              </w:rPr>
            </w:pPr>
            <w:r>
              <w:rPr>
                <w:rStyle w:val="SubtleEmphasis"/>
              </w:rPr>
              <w:t>2.0</w:t>
            </w:r>
          </w:p>
        </w:tc>
        <w:tc>
          <w:tcPr>
            <w:tcW w:w="3005" w:type="dxa"/>
          </w:tcPr>
          <w:p w14:paraId="0F836921" w14:textId="15B356F6" w:rsidR="001E2CD1" w:rsidRDefault="00A0502C" w:rsidP="00376449">
            <w:pPr>
              <w:rPr>
                <w:rStyle w:val="SubtleEmphasis"/>
              </w:rPr>
            </w:pPr>
            <w:r>
              <w:rPr>
                <w:rStyle w:val="SubtleEmphasis"/>
              </w:rPr>
              <w:t xml:space="preserve">October </w:t>
            </w:r>
            <w:r w:rsidR="001E2CD1">
              <w:rPr>
                <w:rStyle w:val="SubtleEmphasis"/>
              </w:rPr>
              <w:t>2024</w:t>
            </w:r>
          </w:p>
        </w:tc>
        <w:tc>
          <w:tcPr>
            <w:tcW w:w="3006" w:type="dxa"/>
          </w:tcPr>
          <w:p w14:paraId="3F64BF14" w14:textId="62022C54" w:rsidR="001E2CD1" w:rsidRDefault="001E2CD1" w:rsidP="00376449">
            <w:pPr>
              <w:rPr>
                <w:rStyle w:val="SubtleEmphasis"/>
              </w:rPr>
            </w:pPr>
            <w:r>
              <w:rPr>
                <w:rStyle w:val="SubtleEmphasis"/>
              </w:rPr>
              <w:t xml:space="preserve">New version – VISA </w:t>
            </w:r>
            <w:r w:rsidR="00463286">
              <w:rPr>
                <w:rStyle w:val="SubtleEmphasis"/>
              </w:rPr>
              <w:t xml:space="preserve">&amp; NHS </w:t>
            </w:r>
            <w:r w:rsidR="00EE0100">
              <w:rPr>
                <w:rStyle w:val="SubtleEmphasis"/>
              </w:rPr>
              <w:t xml:space="preserve">financial </w:t>
            </w:r>
            <w:r>
              <w:rPr>
                <w:rStyle w:val="SubtleEmphasis"/>
              </w:rPr>
              <w:t>support moved to a separate policy</w:t>
            </w:r>
            <w:r w:rsidR="00361B7C">
              <w:rPr>
                <w:rStyle w:val="SubtleEmphasis"/>
              </w:rPr>
              <w:t xml:space="preserve">. </w:t>
            </w:r>
            <w:r w:rsidR="00600E76">
              <w:rPr>
                <w:rStyle w:val="SubtleEmphasis"/>
              </w:rPr>
              <w:t>L</w:t>
            </w:r>
            <w:r w:rsidR="00361B7C">
              <w:rPr>
                <w:rStyle w:val="SubtleEmphasis"/>
              </w:rPr>
              <w:t xml:space="preserve">imits placed on </w:t>
            </w:r>
            <w:r w:rsidR="00B6588D">
              <w:rPr>
                <w:rStyle w:val="SubtleEmphasis"/>
              </w:rPr>
              <w:lastRenderedPageBreak/>
              <w:t xml:space="preserve">eligible </w:t>
            </w:r>
            <w:r w:rsidR="00600E76">
              <w:rPr>
                <w:rStyle w:val="SubtleEmphasis"/>
              </w:rPr>
              <w:t>grade</w:t>
            </w:r>
            <w:r w:rsidR="00EE0100">
              <w:rPr>
                <w:rStyle w:val="SubtleEmphasis"/>
              </w:rPr>
              <w:t>,</w:t>
            </w:r>
            <w:r w:rsidR="00600E76">
              <w:rPr>
                <w:rStyle w:val="SubtleEmphasis"/>
              </w:rPr>
              <w:t xml:space="preserve"> </w:t>
            </w:r>
            <w:r w:rsidR="004F4AA7">
              <w:rPr>
                <w:rStyle w:val="SubtleEmphasis"/>
              </w:rPr>
              <w:t xml:space="preserve">qualifying </w:t>
            </w:r>
            <w:r w:rsidR="00600E76">
              <w:rPr>
                <w:rStyle w:val="SubtleEmphasis"/>
              </w:rPr>
              <w:t>distance</w:t>
            </w:r>
            <w:r w:rsidR="0077238B">
              <w:rPr>
                <w:rStyle w:val="SubtleEmphasis"/>
              </w:rPr>
              <w:t xml:space="preserve"> increased</w:t>
            </w:r>
            <w:r w:rsidR="00EE0100">
              <w:rPr>
                <w:rStyle w:val="SubtleEmphasis"/>
              </w:rPr>
              <w:t>.</w:t>
            </w:r>
          </w:p>
        </w:tc>
      </w:tr>
    </w:tbl>
    <w:p w14:paraId="12A0BC07" w14:textId="234AE89E" w:rsidR="00084894" w:rsidRPr="00376449" w:rsidRDefault="00084894" w:rsidP="00376449">
      <w:pPr>
        <w:rPr>
          <w:szCs w:val="24"/>
        </w:rPr>
      </w:pPr>
    </w:p>
    <w:bookmarkEnd w:id="5"/>
    <w:bookmarkEnd w:id="6"/>
    <w:bookmarkEnd w:id="7"/>
    <w:p w14:paraId="5024C122" w14:textId="779E5A5C" w:rsidR="00B65212" w:rsidRPr="002D02DA" w:rsidRDefault="00104DCF" w:rsidP="002D02DA">
      <w:pPr>
        <w:jc w:val="center"/>
        <w:rPr>
          <w:b/>
          <w:bCs/>
        </w:rPr>
      </w:pPr>
      <w:proofErr w:type="spellStart"/>
      <w:r w:rsidRPr="002D02DA">
        <w:rPr>
          <w:b/>
          <w:bCs/>
        </w:rPr>
        <w:t>Mae'r</w:t>
      </w:r>
      <w:proofErr w:type="spellEnd"/>
      <w:r w:rsidRPr="002D02DA">
        <w:rPr>
          <w:b/>
          <w:bCs/>
        </w:rPr>
        <w:t xml:space="preserve"> </w:t>
      </w:r>
      <w:proofErr w:type="spellStart"/>
      <w:r w:rsidRPr="002D02DA">
        <w:rPr>
          <w:b/>
          <w:bCs/>
        </w:rPr>
        <w:t>ddogfen</w:t>
      </w:r>
      <w:proofErr w:type="spellEnd"/>
      <w:r w:rsidRPr="002D02DA">
        <w:rPr>
          <w:b/>
          <w:bCs/>
        </w:rPr>
        <w:t xml:space="preserve"> hon </w:t>
      </w:r>
      <w:proofErr w:type="spellStart"/>
      <w:r w:rsidRPr="002D02DA">
        <w:rPr>
          <w:b/>
          <w:bCs/>
        </w:rPr>
        <w:t>hefyd</w:t>
      </w:r>
      <w:proofErr w:type="spellEnd"/>
      <w:r w:rsidRPr="002D02DA">
        <w:rPr>
          <w:b/>
          <w:bCs/>
        </w:rPr>
        <w:t xml:space="preserve"> </w:t>
      </w:r>
      <w:proofErr w:type="spellStart"/>
      <w:r w:rsidRPr="002D02DA">
        <w:rPr>
          <w:b/>
          <w:bCs/>
        </w:rPr>
        <w:t>ar</w:t>
      </w:r>
      <w:proofErr w:type="spellEnd"/>
      <w:r w:rsidRPr="002D02DA">
        <w:rPr>
          <w:b/>
          <w:bCs/>
        </w:rPr>
        <w:t xml:space="preserve"> </w:t>
      </w:r>
      <w:proofErr w:type="spellStart"/>
      <w:r w:rsidRPr="002D02DA">
        <w:rPr>
          <w:b/>
          <w:bCs/>
        </w:rPr>
        <w:t>gael</w:t>
      </w:r>
      <w:proofErr w:type="spellEnd"/>
      <w:r w:rsidRPr="002D02DA">
        <w:rPr>
          <w:b/>
          <w:bCs/>
        </w:rPr>
        <w:t xml:space="preserve"> </w:t>
      </w:r>
      <w:proofErr w:type="spellStart"/>
      <w:r w:rsidRPr="002D02DA">
        <w:rPr>
          <w:b/>
          <w:bCs/>
        </w:rPr>
        <w:t>yn</w:t>
      </w:r>
      <w:proofErr w:type="spellEnd"/>
      <w:r w:rsidRPr="002D02DA">
        <w:rPr>
          <w:b/>
          <w:bCs/>
        </w:rPr>
        <w:t xml:space="preserve"> </w:t>
      </w:r>
      <w:proofErr w:type="spellStart"/>
      <w:r w:rsidRPr="002D02DA">
        <w:rPr>
          <w:b/>
          <w:bCs/>
        </w:rPr>
        <w:t>Gymraeg</w:t>
      </w:r>
      <w:proofErr w:type="spellEnd"/>
      <w:r w:rsidRPr="002D02DA">
        <w:rPr>
          <w:b/>
          <w:bCs/>
        </w:rPr>
        <w:t xml:space="preserve"> / This document is also available in Welsh</w:t>
      </w:r>
      <w:r w:rsidR="002D02DA" w:rsidRPr="002D02DA">
        <w:rPr>
          <w:b/>
          <w:bCs/>
        </w:rPr>
        <w:t>.</w:t>
      </w:r>
    </w:p>
    <w:p w14:paraId="4B2ED2DF" w14:textId="77777777" w:rsidR="00104DCF" w:rsidRPr="00254810" w:rsidRDefault="00104DCF" w:rsidP="00104DCF">
      <w:pPr>
        <w:pStyle w:val="Heading1"/>
        <w:numPr>
          <w:ilvl w:val="0"/>
          <w:numId w:val="0"/>
        </w:numPr>
        <w:ind w:left="431" w:hanging="431"/>
        <w:rPr>
          <w:color w:val="auto"/>
        </w:rPr>
      </w:pPr>
      <w:bookmarkStart w:id="8" w:name="_Toc201138549"/>
      <w:r w:rsidRPr="00254810">
        <w:rPr>
          <w:color w:val="auto"/>
        </w:rPr>
        <w:t>Policy Hub</w:t>
      </w:r>
      <w:bookmarkEnd w:id="8"/>
    </w:p>
    <w:p w14:paraId="5E5C875B" w14:textId="77777777" w:rsidR="00104DCF" w:rsidRPr="00254810" w:rsidRDefault="00104DCF" w:rsidP="00104DCF">
      <w:pPr>
        <w:pStyle w:val="Heading2"/>
        <w:numPr>
          <w:ilvl w:val="0"/>
          <w:numId w:val="0"/>
        </w:numPr>
        <w:ind w:left="578" w:hanging="578"/>
        <w:rPr>
          <w:color w:val="auto"/>
        </w:rPr>
      </w:pPr>
      <w:r w:rsidRPr="00254810">
        <w:rPr>
          <w:color w:val="auto"/>
        </w:rPr>
        <w:t>For further information on policies:</w:t>
      </w:r>
    </w:p>
    <w:p w14:paraId="1EC19FCD" w14:textId="77777777" w:rsidR="00104DCF" w:rsidRPr="00254810" w:rsidRDefault="00104DCF" w:rsidP="00104DCF">
      <w:pPr>
        <w:pStyle w:val="ActionPoints"/>
        <w:spacing w:before="0" w:after="0"/>
        <w:rPr>
          <w:color w:val="auto"/>
        </w:rPr>
      </w:pPr>
      <w:r w:rsidRPr="00254810">
        <w:rPr>
          <w:color w:val="auto"/>
        </w:rPr>
        <w:t xml:space="preserve">You can go to the Secretariat pages on InSite at </w:t>
      </w:r>
      <w:hyperlink r:id="rId13" w:history="1">
        <w:r w:rsidRPr="00254810">
          <w:rPr>
            <w:rStyle w:val="Hyperlink"/>
            <w:color w:val="auto"/>
          </w:rPr>
          <w:t>https://outlookuwicac.sharepoint.com/sites/Secretariat</w:t>
        </w:r>
      </w:hyperlink>
      <w:r w:rsidRPr="00254810">
        <w:rPr>
          <w:color w:val="auto"/>
        </w:rPr>
        <w:t xml:space="preserve">; </w:t>
      </w:r>
    </w:p>
    <w:p w14:paraId="3E9150DF" w14:textId="77777777" w:rsidR="00104DCF" w:rsidRDefault="00104DCF" w:rsidP="00104DCF">
      <w:pPr>
        <w:pStyle w:val="ActionPoints"/>
        <w:spacing w:before="0" w:after="0"/>
        <w:rPr>
          <w:color w:val="auto"/>
        </w:rPr>
      </w:pPr>
      <w:r w:rsidRPr="00254810">
        <w:rPr>
          <w:color w:val="auto"/>
        </w:rPr>
        <w:t xml:space="preserve">You can go to the Policy Hub at </w:t>
      </w:r>
      <w:hyperlink r:id="rId14" w:history="1">
        <w:r w:rsidRPr="00254810">
          <w:rPr>
            <w:rStyle w:val="Hyperlink"/>
            <w:color w:val="auto"/>
          </w:rPr>
          <w:t>cardiffmet.ac.uk/about/</w:t>
        </w:r>
        <w:proofErr w:type="spellStart"/>
        <w:r w:rsidRPr="00254810">
          <w:rPr>
            <w:rStyle w:val="Hyperlink"/>
            <w:color w:val="auto"/>
          </w:rPr>
          <w:t>policyhub</w:t>
        </w:r>
        <w:proofErr w:type="spellEnd"/>
      </w:hyperlink>
      <w:r w:rsidRPr="00254810">
        <w:rPr>
          <w:color w:val="auto"/>
        </w:rPr>
        <w:t>; or</w:t>
      </w:r>
    </w:p>
    <w:p w14:paraId="75D6C41F" w14:textId="2D7A0EAA" w:rsidR="00104DCF" w:rsidRPr="00104DCF" w:rsidRDefault="00104DCF" w:rsidP="00104DCF">
      <w:pPr>
        <w:pStyle w:val="ActionPoints"/>
        <w:spacing w:before="0" w:after="0"/>
        <w:rPr>
          <w:color w:val="auto"/>
        </w:rPr>
      </w:pPr>
      <w:r w:rsidRPr="00104DCF">
        <w:rPr>
          <w:color w:val="auto"/>
        </w:rPr>
        <w:t xml:space="preserve">Contact </w:t>
      </w:r>
      <w:hyperlink r:id="rId15" w:history="1">
        <w:r w:rsidRPr="00104DCF">
          <w:rPr>
            <w:rStyle w:val="Hyperlink"/>
            <w:color w:val="auto"/>
          </w:rPr>
          <w:t>policies@cardiffmet.ac.uk</w:t>
        </w:r>
      </w:hyperlink>
      <w:r w:rsidRPr="00104DCF">
        <w:rPr>
          <w:color w:val="auto"/>
        </w:rPr>
        <w:t>.</w:t>
      </w:r>
    </w:p>
    <w:p w14:paraId="733DAF5D" w14:textId="77777777" w:rsidR="00C53A2C" w:rsidRDefault="00C53A2C" w:rsidP="001E2CD1">
      <w:pPr>
        <w:pStyle w:val="ActionPoints"/>
        <w:numPr>
          <w:ilvl w:val="0"/>
          <w:numId w:val="0"/>
        </w:numPr>
      </w:pPr>
    </w:p>
    <w:sdt>
      <w:sdtPr>
        <w:rPr>
          <w:rFonts w:asciiTheme="minorHAnsi" w:hAnsiTheme="minorHAnsi"/>
          <w:shd w:val="clear" w:color="auto" w:fill="E6E6E6"/>
        </w:rPr>
        <w:id w:val="869342007"/>
        <w:docPartObj>
          <w:docPartGallery w:val="Table of Contents"/>
          <w:docPartUnique/>
        </w:docPartObj>
      </w:sdtPr>
      <w:sdtEndPr>
        <w:rPr>
          <w:b/>
          <w:bCs/>
          <w:noProof/>
        </w:rPr>
      </w:sdtEndPr>
      <w:sdtContent>
        <w:p w14:paraId="0F7D565D" w14:textId="77777777" w:rsidR="00104DCF" w:rsidRDefault="00176A6B">
          <w:pPr>
            <w:pStyle w:val="TOC1"/>
            <w:tabs>
              <w:tab w:val="left" w:pos="440"/>
              <w:tab w:val="right" w:leader="dot" w:pos="9016"/>
            </w:tabs>
            <w:rPr>
              <w:noProof/>
            </w:rPr>
          </w:pPr>
          <w:r w:rsidRPr="00EC2C8F">
            <w:rPr>
              <w:rStyle w:val="Heading1Char"/>
            </w:rPr>
            <w:t>Contents</w:t>
          </w:r>
          <w:r w:rsidR="003359CE">
            <w:rPr>
              <w:rStyle w:val="Heading1Char"/>
            </w:rPr>
            <w:t xml:space="preserve"> </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5666DBA4" w14:textId="03AF28F0" w:rsidR="00104DCF" w:rsidRDefault="00104DCF">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01138547" w:history="1">
            <w:r w:rsidRPr="005D0D6B">
              <w:rPr>
                <w:rStyle w:val="Hyperlink"/>
                <w:noProof/>
              </w:rPr>
              <w:t>Key Details</w:t>
            </w:r>
            <w:r>
              <w:rPr>
                <w:noProof/>
                <w:webHidden/>
              </w:rPr>
              <w:tab/>
            </w:r>
            <w:r>
              <w:rPr>
                <w:noProof/>
                <w:webHidden/>
              </w:rPr>
              <w:fldChar w:fldCharType="begin"/>
            </w:r>
            <w:r>
              <w:rPr>
                <w:noProof/>
                <w:webHidden/>
              </w:rPr>
              <w:instrText xml:space="preserve"> PAGEREF _Toc201138547 \h </w:instrText>
            </w:r>
            <w:r>
              <w:rPr>
                <w:noProof/>
                <w:webHidden/>
              </w:rPr>
            </w:r>
            <w:r>
              <w:rPr>
                <w:noProof/>
                <w:webHidden/>
              </w:rPr>
              <w:fldChar w:fldCharType="separate"/>
            </w:r>
            <w:r>
              <w:rPr>
                <w:noProof/>
                <w:webHidden/>
              </w:rPr>
              <w:t>1</w:t>
            </w:r>
            <w:r>
              <w:rPr>
                <w:noProof/>
                <w:webHidden/>
              </w:rPr>
              <w:fldChar w:fldCharType="end"/>
            </w:r>
          </w:hyperlink>
        </w:p>
        <w:p w14:paraId="430502B6" w14:textId="0BBA3BA3" w:rsidR="00104DCF" w:rsidRDefault="00104DCF">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01138548" w:history="1">
            <w:r w:rsidRPr="005D0D6B">
              <w:rPr>
                <w:rStyle w:val="Hyperlink"/>
                <w:noProof/>
              </w:rPr>
              <w:t>Version Control</w:t>
            </w:r>
            <w:r>
              <w:rPr>
                <w:noProof/>
                <w:webHidden/>
              </w:rPr>
              <w:tab/>
            </w:r>
            <w:r>
              <w:rPr>
                <w:noProof/>
                <w:webHidden/>
              </w:rPr>
              <w:fldChar w:fldCharType="begin"/>
            </w:r>
            <w:r>
              <w:rPr>
                <w:noProof/>
                <w:webHidden/>
              </w:rPr>
              <w:instrText xml:space="preserve"> PAGEREF _Toc201138548 \h </w:instrText>
            </w:r>
            <w:r>
              <w:rPr>
                <w:noProof/>
                <w:webHidden/>
              </w:rPr>
            </w:r>
            <w:r>
              <w:rPr>
                <w:noProof/>
                <w:webHidden/>
              </w:rPr>
              <w:fldChar w:fldCharType="separate"/>
            </w:r>
            <w:r>
              <w:rPr>
                <w:noProof/>
                <w:webHidden/>
              </w:rPr>
              <w:t>1</w:t>
            </w:r>
            <w:r>
              <w:rPr>
                <w:noProof/>
                <w:webHidden/>
              </w:rPr>
              <w:fldChar w:fldCharType="end"/>
            </w:r>
          </w:hyperlink>
        </w:p>
        <w:p w14:paraId="3245DBAE" w14:textId="7EEE98A5" w:rsidR="00104DCF" w:rsidRDefault="00104DCF">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01138549" w:history="1">
            <w:r w:rsidRPr="005D0D6B">
              <w:rPr>
                <w:rStyle w:val="Hyperlink"/>
                <w:noProof/>
              </w:rPr>
              <w:t>Policy Hub</w:t>
            </w:r>
            <w:r>
              <w:rPr>
                <w:noProof/>
                <w:webHidden/>
              </w:rPr>
              <w:tab/>
            </w:r>
            <w:r>
              <w:rPr>
                <w:noProof/>
                <w:webHidden/>
              </w:rPr>
              <w:fldChar w:fldCharType="begin"/>
            </w:r>
            <w:r>
              <w:rPr>
                <w:noProof/>
                <w:webHidden/>
              </w:rPr>
              <w:instrText xml:space="preserve"> PAGEREF _Toc201138549 \h </w:instrText>
            </w:r>
            <w:r>
              <w:rPr>
                <w:noProof/>
                <w:webHidden/>
              </w:rPr>
            </w:r>
            <w:r>
              <w:rPr>
                <w:noProof/>
                <w:webHidden/>
              </w:rPr>
              <w:fldChar w:fldCharType="separate"/>
            </w:r>
            <w:r>
              <w:rPr>
                <w:noProof/>
                <w:webHidden/>
              </w:rPr>
              <w:t>2</w:t>
            </w:r>
            <w:r>
              <w:rPr>
                <w:noProof/>
                <w:webHidden/>
              </w:rPr>
              <w:fldChar w:fldCharType="end"/>
            </w:r>
          </w:hyperlink>
        </w:p>
        <w:p w14:paraId="3D097AB4" w14:textId="63069403" w:rsidR="00104DCF" w:rsidRDefault="00104DC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1138550" w:history="1">
            <w:r w:rsidRPr="005D0D6B">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5D0D6B">
              <w:rPr>
                <w:rStyle w:val="Hyperlink"/>
                <w:noProof/>
              </w:rPr>
              <w:t>Statement and Purpose</w:t>
            </w:r>
            <w:r>
              <w:rPr>
                <w:noProof/>
                <w:webHidden/>
              </w:rPr>
              <w:tab/>
            </w:r>
            <w:r>
              <w:rPr>
                <w:noProof/>
                <w:webHidden/>
              </w:rPr>
              <w:fldChar w:fldCharType="begin"/>
            </w:r>
            <w:r>
              <w:rPr>
                <w:noProof/>
                <w:webHidden/>
              </w:rPr>
              <w:instrText xml:space="preserve"> PAGEREF _Toc201138550 \h </w:instrText>
            </w:r>
            <w:r>
              <w:rPr>
                <w:noProof/>
                <w:webHidden/>
              </w:rPr>
            </w:r>
            <w:r>
              <w:rPr>
                <w:noProof/>
                <w:webHidden/>
              </w:rPr>
              <w:fldChar w:fldCharType="separate"/>
            </w:r>
            <w:r>
              <w:rPr>
                <w:noProof/>
                <w:webHidden/>
              </w:rPr>
              <w:t>3</w:t>
            </w:r>
            <w:r>
              <w:rPr>
                <w:noProof/>
                <w:webHidden/>
              </w:rPr>
              <w:fldChar w:fldCharType="end"/>
            </w:r>
          </w:hyperlink>
        </w:p>
        <w:p w14:paraId="2FB512B9" w14:textId="225B4589" w:rsidR="00104DCF" w:rsidRDefault="00104DC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1138551" w:history="1">
            <w:r w:rsidRPr="005D0D6B">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5D0D6B">
              <w:rPr>
                <w:rStyle w:val="Hyperlink"/>
                <w:noProof/>
              </w:rPr>
              <w:t>Scope</w:t>
            </w:r>
            <w:r>
              <w:rPr>
                <w:noProof/>
                <w:webHidden/>
              </w:rPr>
              <w:tab/>
            </w:r>
            <w:r>
              <w:rPr>
                <w:noProof/>
                <w:webHidden/>
              </w:rPr>
              <w:fldChar w:fldCharType="begin"/>
            </w:r>
            <w:r>
              <w:rPr>
                <w:noProof/>
                <w:webHidden/>
              </w:rPr>
              <w:instrText xml:space="preserve"> PAGEREF _Toc201138551 \h </w:instrText>
            </w:r>
            <w:r>
              <w:rPr>
                <w:noProof/>
                <w:webHidden/>
              </w:rPr>
            </w:r>
            <w:r>
              <w:rPr>
                <w:noProof/>
                <w:webHidden/>
              </w:rPr>
              <w:fldChar w:fldCharType="separate"/>
            </w:r>
            <w:r>
              <w:rPr>
                <w:noProof/>
                <w:webHidden/>
              </w:rPr>
              <w:t>3</w:t>
            </w:r>
            <w:r>
              <w:rPr>
                <w:noProof/>
                <w:webHidden/>
              </w:rPr>
              <w:fldChar w:fldCharType="end"/>
            </w:r>
          </w:hyperlink>
        </w:p>
        <w:p w14:paraId="509C1A0C" w14:textId="32294118" w:rsidR="00104DCF" w:rsidRDefault="00104DC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1138552" w:history="1">
            <w:r w:rsidRPr="005D0D6B">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5D0D6B">
              <w:rPr>
                <w:rStyle w:val="Hyperlink"/>
                <w:noProof/>
              </w:rPr>
              <w:t>Allowances</w:t>
            </w:r>
            <w:r>
              <w:rPr>
                <w:noProof/>
                <w:webHidden/>
              </w:rPr>
              <w:tab/>
            </w:r>
            <w:r>
              <w:rPr>
                <w:noProof/>
                <w:webHidden/>
              </w:rPr>
              <w:fldChar w:fldCharType="begin"/>
            </w:r>
            <w:r>
              <w:rPr>
                <w:noProof/>
                <w:webHidden/>
              </w:rPr>
              <w:instrText xml:space="preserve"> PAGEREF _Toc201138552 \h </w:instrText>
            </w:r>
            <w:r>
              <w:rPr>
                <w:noProof/>
                <w:webHidden/>
              </w:rPr>
            </w:r>
            <w:r>
              <w:rPr>
                <w:noProof/>
                <w:webHidden/>
              </w:rPr>
              <w:fldChar w:fldCharType="separate"/>
            </w:r>
            <w:r>
              <w:rPr>
                <w:noProof/>
                <w:webHidden/>
              </w:rPr>
              <w:t>3</w:t>
            </w:r>
            <w:r>
              <w:rPr>
                <w:noProof/>
                <w:webHidden/>
              </w:rPr>
              <w:fldChar w:fldCharType="end"/>
            </w:r>
          </w:hyperlink>
        </w:p>
        <w:p w14:paraId="0FA02C35" w14:textId="2F2B14ED" w:rsidR="00104DCF" w:rsidRDefault="00104DC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1138553" w:history="1">
            <w:r w:rsidRPr="005D0D6B">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5D0D6B">
              <w:rPr>
                <w:rStyle w:val="Hyperlink"/>
                <w:noProof/>
              </w:rPr>
              <w:t>Permissible Costs</w:t>
            </w:r>
            <w:r>
              <w:rPr>
                <w:noProof/>
                <w:webHidden/>
              </w:rPr>
              <w:tab/>
            </w:r>
            <w:r>
              <w:rPr>
                <w:noProof/>
                <w:webHidden/>
              </w:rPr>
              <w:fldChar w:fldCharType="begin"/>
            </w:r>
            <w:r>
              <w:rPr>
                <w:noProof/>
                <w:webHidden/>
              </w:rPr>
              <w:instrText xml:space="preserve"> PAGEREF _Toc201138553 \h </w:instrText>
            </w:r>
            <w:r>
              <w:rPr>
                <w:noProof/>
                <w:webHidden/>
              </w:rPr>
            </w:r>
            <w:r>
              <w:rPr>
                <w:noProof/>
                <w:webHidden/>
              </w:rPr>
              <w:fldChar w:fldCharType="separate"/>
            </w:r>
            <w:r>
              <w:rPr>
                <w:noProof/>
                <w:webHidden/>
              </w:rPr>
              <w:t>4</w:t>
            </w:r>
            <w:r>
              <w:rPr>
                <w:noProof/>
                <w:webHidden/>
              </w:rPr>
              <w:fldChar w:fldCharType="end"/>
            </w:r>
          </w:hyperlink>
        </w:p>
        <w:p w14:paraId="0ECCABAC" w14:textId="1C4EB99C" w:rsidR="00104DCF" w:rsidRDefault="00104DC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1138554" w:history="1">
            <w:r w:rsidRPr="005D0D6B">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5D0D6B">
              <w:rPr>
                <w:rStyle w:val="Hyperlink"/>
                <w:noProof/>
              </w:rPr>
              <w:t>Claiming Relocation Expenses</w:t>
            </w:r>
            <w:r>
              <w:rPr>
                <w:noProof/>
                <w:webHidden/>
              </w:rPr>
              <w:tab/>
            </w:r>
            <w:r>
              <w:rPr>
                <w:noProof/>
                <w:webHidden/>
              </w:rPr>
              <w:fldChar w:fldCharType="begin"/>
            </w:r>
            <w:r>
              <w:rPr>
                <w:noProof/>
                <w:webHidden/>
              </w:rPr>
              <w:instrText xml:space="preserve"> PAGEREF _Toc201138554 \h </w:instrText>
            </w:r>
            <w:r>
              <w:rPr>
                <w:noProof/>
                <w:webHidden/>
              </w:rPr>
            </w:r>
            <w:r>
              <w:rPr>
                <w:noProof/>
                <w:webHidden/>
              </w:rPr>
              <w:fldChar w:fldCharType="separate"/>
            </w:r>
            <w:r>
              <w:rPr>
                <w:noProof/>
                <w:webHidden/>
              </w:rPr>
              <w:t>4</w:t>
            </w:r>
            <w:r>
              <w:rPr>
                <w:noProof/>
                <w:webHidden/>
              </w:rPr>
              <w:fldChar w:fldCharType="end"/>
            </w:r>
          </w:hyperlink>
        </w:p>
        <w:p w14:paraId="5CE2A4B9" w14:textId="4CBFE925" w:rsidR="00104DCF" w:rsidRDefault="00104DC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1138555" w:history="1">
            <w:r w:rsidRPr="005D0D6B">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5D0D6B">
              <w:rPr>
                <w:rStyle w:val="Hyperlink"/>
                <w:noProof/>
              </w:rPr>
              <w:t>Repayment of Relocation Expenses</w:t>
            </w:r>
            <w:r>
              <w:rPr>
                <w:noProof/>
                <w:webHidden/>
              </w:rPr>
              <w:tab/>
            </w:r>
            <w:r>
              <w:rPr>
                <w:noProof/>
                <w:webHidden/>
              </w:rPr>
              <w:fldChar w:fldCharType="begin"/>
            </w:r>
            <w:r>
              <w:rPr>
                <w:noProof/>
                <w:webHidden/>
              </w:rPr>
              <w:instrText xml:space="preserve"> PAGEREF _Toc201138555 \h </w:instrText>
            </w:r>
            <w:r>
              <w:rPr>
                <w:noProof/>
                <w:webHidden/>
              </w:rPr>
            </w:r>
            <w:r>
              <w:rPr>
                <w:noProof/>
                <w:webHidden/>
              </w:rPr>
              <w:fldChar w:fldCharType="separate"/>
            </w:r>
            <w:r>
              <w:rPr>
                <w:noProof/>
                <w:webHidden/>
              </w:rPr>
              <w:t>5</w:t>
            </w:r>
            <w:r>
              <w:rPr>
                <w:noProof/>
                <w:webHidden/>
              </w:rPr>
              <w:fldChar w:fldCharType="end"/>
            </w:r>
          </w:hyperlink>
        </w:p>
        <w:p w14:paraId="7DD632BB" w14:textId="7038CF9E" w:rsidR="00104DCF" w:rsidRDefault="00104DC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1138556" w:history="1">
            <w:r w:rsidRPr="005D0D6B">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5D0D6B">
              <w:rPr>
                <w:rStyle w:val="Hyperlink"/>
                <w:noProof/>
              </w:rPr>
              <w:t>Policy Revision</w:t>
            </w:r>
            <w:r>
              <w:rPr>
                <w:noProof/>
                <w:webHidden/>
              </w:rPr>
              <w:tab/>
            </w:r>
            <w:r>
              <w:rPr>
                <w:noProof/>
                <w:webHidden/>
              </w:rPr>
              <w:fldChar w:fldCharType="begin"/>
            </w:r>
            <w:r>
              <w:rPr>
                <w:noProof/>
                <w:webHidden/>
              </w:rPr>
              <w:instrText xml:space="preserve"> PAGEREF _Toc201138556 \h </w:instrText>
            </w:r>
            <w:r>
              <w:rPr>
                <w:noProof/>
                <w:webHidden/>
              </w:rPr>
            </w:r>
            <w:r>
              <w:rPr>
                <w:noProof/>
                <w:webHidden/>
              </w:rPr>
              <w:fldChar w:fldCharType="separate"/>
            </w:r>
            <w:r>
              <w:rPr>
                <w:noProof/>
                <w:webHidden/>
              </w:rPr>
              <w:t>5</w:t>
            </w:r>
            <w:r>
              <w:rPr>
                <w:noProof/>
                <w:webHidden/>
              </w:rPr>
              <w:fldChar w:fldCharType="end"/>
            </w:r>
          </w:hyperlink>
        </w:p>
        <w:p w14:paraId="1D6534DC" w14:textId="48226509" w:rsidR="00104DCF" w:rsidRDefault="00104DC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1138557" w:history="1">
            <w:r w:rsidRPr="005D0D6B">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5D0D6B">
              <w:rPr>
                <w:rStyle w:val="Hyperlink"/>
                <w:noProof/>
              </w:rPr>
              <w:t>Annex 1 Eligible Relocation Expenses</w:t>
            </w:r>
            <w:r>
              <w:rPr>
                <w:noProof/>
                <w:webHidden/>
              </w:rPr>
              <w:tab/>
            </w:r>
            <w:r>
              <w:rPr>
                <w:noProof/>
                <w:webHidden/>
              </w:rPr>
              <w:fldChar w:fldCharType="begin"/>
            </w:r>
            <w:r>
              <w:rPr>
                <w:noProof/>
                <w:webHidden/>
              </w:rPr>
              <w:instrText xml:space="preserve"> PAGEREF _Toc201138557 \h </w:instrText>
            </w:r>
            <w:r>
              <w:rPr>
                <w:noProof/>
                <w:webHidden/>
              </w:rPr>
            </w:r>
            <w:r>
              <w:rPr>
                <w:noProof/>
                <w:webHidden/>
              </w:rPr>
              <w:fldChar w:fldCharType="separate"/>
            </w:r>
            <w:r>
              <w:rPr>
                <w:noProof/>
                <w:webHidden/>
              </w:rPr>
              <w:t>7</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77CA0802" w14:textId="761FFEBC" w:rsidR="00DA65F7" w:rsidRPr="00DA65F7" w:rsidRDefault="00DA65F7" w:rsidP="0002203C">
      <w:pPr>
        <w:pStyle w:val="Heading1"/>
      </w:pPr>
      <w:bookmarkStart w:id="9" w:name="_Toc123893713"/>
      <w:bookmarkStart w:id="10" w:name="_Toc201138550"/>
      <w:r w:rsidRPr="00DA65F7">
        <w:lastRenderedPageBreak/>
        <w:t>Statement and Purpose</w:t>
      </w:r>
      <w:bookmarkEnd w:id="9"/>
      <w:bookmarkEnd w:id="10"/>
    </w:p>
    <w:p w14:paraId="1CA23DC6" w14:textId="027FF50F" w:rsidR="00DA65F7" w:rsidRPr="00DA65F7" w:rsidRDefault="00DA65F7" w:rsidP="0002203C">
      <w:pPr>
        <w:pStyle w:val="Heading2"/>
      </w:pPr>
      <w:r w:rsidRPr="00DA65F7">
        <w:t xml:space="preserve">Cardiff Metropolitan University aims to attract, recruit and retain outstanding candidates. In support of this aim, the Relocation Policy and Procedure is designed to support mobility so that national and international geography </w:t>
      </w:r>
      <w:r w:rsidR="00E93180">
        <w:t>are</w:t>
      </w:r>
      <w:r w:rsidRPr="00DA65F7">
        <w:t xml:space="preserve"> not a barrier to recruitment. </w:t>
      </w:r>
    </w:p>
    <w:p w14:paraId="172890F3" w14:textId="77777777" w:rsidR="00DA65F7" w:rsidRPr="00DA65F7" w:rsidRDefault="00DA65F7" w:rsidP="0002203C">
      <w:pPr>
        <w:pStyle w:val="Heading2"/>
        <w:rPr>
          <w:color w:val="auto"/>
        </w:rPr>
      </w:pPr>
      <w:r w:rsidRPr="00DA65F7">
        <w:rPr>
          <w:color w:val="auto"/>
        </w:rPr>
        <w:t xml:space="preserve">The policy is designed to support newly appointed employees with the financial and practical challenges associated with relocating. </w:t>
      </w:r>
    </w:p>
    <w:p w14:paraId="5673D315" w14:textId="0C7A09BF" w:rsidR="001E2CD1" w:rsidRPr="001E2CD1" w:rsidRDefault="00DA65F7" w:rsidP="0002203C">
      <w:pPr>
        <w:pStyle w:val="Heading2"/>
        <w:rPr>
          <w:color w:val="auto"/>
        </w:rPr>
      </w:pPr>
      <w:r w:rsidRPr="00DA65F7">
        <w:rPr>
          <w:color w:val="auto"/>
        </w:rPr>
        <w:t>The relocation package is intended to be a contribution to the costs incurred in relocati</w:t>
      </w:r>
      <w:r w:rsidR="00BA0B05">
        <w:rPr>
          <w:color w:val="auto"/>
        </w:rPr>
        <w:t>ng</w:t>
      </w:r>
      <w:r w:rsidRPr="00DA65F7">
        <w:rPr>
          <w:color w:val="auto"/>
        </w:rPr>
        <w:t xml:space="preserve"> and is not a commitment to meet all the costs involved.  Expenses are reimbursed in line with HMRC guidelines</w:t>
      </w:r>
      <w:r w:rsidR="001E2CD1">
        <w:rPr>
          <w:color w:val="auto"/>
        </w:rPr>
        <w:t>.</w:t>
      </w:r>
    </w:p>
    <w:p w14:paraId="5A4F9610" w14:textId="77777777" w:rsidR="00DA65F7" w:rsidRPr="00DA65F7" w:rsidRDefault="00DA65F7" w:rsidP="0002203C">
      <w:pPr>
        <w:pStyle w:val="Heading2"/>
        <w:rPr>
          <w:color w:val="auto"/>
        </w:rPr>
      </w:pPr>
      <w:r w:rsidRPr="00DA65F7">
        <w:rPr>
          <w:color w:val="auto"/>
        </w:rPr>
        <w:t>This policy is non-contractual.</w:t>
      </w:r>
    </w:p>
    <w:p w14:paraId="3A3CDCBF" w14:textId="77777777" w:rsidR="00DA65F7" w:rsidRPr="00DA65F7" w:rsidRDefault="00DA65F7" w:rsidP="0002203C">
      <w:pPr>
        <w:pStyle w:val="Heading1"/>
      </w:pPr>
      <w:bookmarkStart w:id="11" w:name="_Toc123893714"/>
      <w:bookmarkStart w:id="12" w:name="_Toc201138551"/>
      <w:r w:rsidRPr="00DA65F7">
        <w:t>Scope</w:t>
      </w:r>
      <w:bookmarkEnd w:id="11"/>
      <w:bookmarkEnd w:id="12"/>
    </w:p>
    <w:p w14:paraId="4BED6BAB" w14:textId="77777777" w:rsidR="00DA65F7" w:rsidRPr="00DA65F7" w:rsidRDefault="00DA65F7" w:rsidP="008D274E">
      <w:pPr>
        <w:pStyle w:val="Heading2"/>
      </w:pPr>
      <w:r w:rsidRPr="0002203C">
        <w:t>Existing members of staff are not eligible to claim relocation expenses. Newly appointed employees will qualify for relocation expenses where the following criteria are met</w:t>
      </w:r>
      <w:r w:rsidRPr="00DA65F7">
        <w:t xml:space="preserve">: </w:t>
      </w:r>
    </w:p>
    <w:p w14:paraId="519BDFEC" w14:textId="7DB3F5A2" w:rsidR="00D95DFB" w:rsidRDefault="00DA65F7" w:rsidP="00E93180">
      <w:pPr>
        <w:pStyle w:val="Heading3"/>
      </w:pPr>
      <w:r w:rsidRPr="00DA65F7">
        <w:t>They have accepted a written offer of employment with Cardiff Metropolitan University</w:t>
      </w:r>
      <w:r w:rsidR="00D95DFB">
        <w:t>, all pre-engagement checks are complete, and the appointment has been confirmed</w:t>
      </w:r>
    </w:p>
    <w:p w14:paraId="665E083F" w14:textId="07BFB3D9" w:rsidR="007B35A4" w:rsidRPr="00DA65F7" w:rsidRDefault="00D95DFB" w:rsidP="00E93180">
      <w:pPr>
        <w:pStyle w:val="Heading3"/>
      </w:pPr>
      <w:r>
        <w:t>The employment is a permanent tenure</w:t>
      </w:r>
      <w:r w:rsidR="00957F00">
        <w:t xml:space="preserve">. </w:t>
      </w:r>
      <w:r w:rsidR="007B35A4">
        <w:t>Fixed term contracts</w:t>
      </w:r>
      <w:r w:rsidR="4A0B0447">
        <w:t xml:space="preserve"> for periods of less than 3 years</w:t>
      </w:r>
      <w:r w:rsidR="007B35A4">
        <w:t xml:space="preserve"> and casual workers are excluded.</w:t>
      </w:r>
    </w:p>
    <w:p w14:paraId="6AE26C02" w14:textId="1C80B792" w:rsidR="00DA65F7" w:rsidRPr="00DA65F7" w:rsidRDefault="00DA65F7" w:rsidP="0002203C">
      <w:pPr>
        <w:pStyle w:val="Heading3"/>
        <w:rPr>
          <w:color w:val="auto"/>
        </w:rPr>
      </w:pPr>
      <w:r w:rsidRPr="48115040">
        <w:rPr>
          <w:color w:val="auto"/>
        </w:rPr>
        <w:t xml:space="preserve">The employee is relocating from a main residence </w:t>
      </w:r>
      <w:r w:rsidR="0085549A">
        <w:rPr>
          <w:color w:val="auto"/>
        </w:rPr>
        <w:t>6</w:t>
      </w:r>
      <w:r w:rsidR="002977FB">
        <w:rPr>
          <w:color w:val="auto"/>
        </w:rPr>
        <w:t>0</w:t>
      </w:r>
      <w:r w:rsidR="00213316">
        <w:rPr>
          <w:color w:val="auto"/>
        </w:rPr>
        <w:t xml:space="preserve"> </w:t>
      </w:r>
      <w:r w:rsidRPr="48115040">
        <w:rPr>
          <w:color w:val="auto"/>
        </w:rPr>
        <w:t>miles (as the crow flies) or more from their proposed University work-base.</w:t>
      </w:r>
    </w:p>
    <w:p w14:paraId="73C04E70" w14:textId="77777777" w:rsidR="001E2CD1" w:rsidRDefault="00DA65F7" w:rsidP="0002203C">
      <w:pPr>
        <w:pStyle w:val="Heading3"/>
        <w:rPr>
          <w:color w:val="auto"/>
        </w:rPr>
      </w:pPr>
      <w:r w:rsidRPr="00DA65F7">
        <w:rPr>
          <w:color w:val="auto"/>
        </w:rPr>
        <w:t>The employee is moving to a main residence, which is less than 30 miles away (as the crow flies) from their contracted University work-base.</w:t>
      </w:r>
    </w:p>
    <w:p w14:paraId="333019FE" w14:textId="77777777" w:rsidR="001E2CD1" w:rsidRDefault="001E2CD1" w:rsidP="0002203C">
      <w:pPr>
        <w:pStyle w:val="Heading3"/>
        <w:rPr>
          <w:color w:val="auto"/>
        </w:rPr>
      </w:pPr>
      <w:r>
        <w:rPr>
          <w:color w:val="auto"/>
        </w:rPr>
        <w:t>The employment is for a grade 7 position or above.</w:t>
      </w:r>
    </w:p>
    <w:p w14:paraId="0F2982BB" w14:textId="31EDA9FF" w:rsidR="00DA65F7" w:rsidRPr="00E93180" w:rsidRDefault="001E2CD1" w:rsidP="00E93180">
      <w:pPr>
        <w:pStyle w:val="Heading2"/>
      </w:pPr>
      <w:r w:rsidRPr="0002203C">
        <w:t xml:space="preserve">This policy does not cover support for VISA </w:t>
      </w:r>
      <w:r w:rsidR="00E93180">
        <w:t xml:space="preserve">or NHS costs </w:t>
      </w:r>
      <w:r w:rsidRPr="0002203C">
        <w:t xml:space="preserve">requirements. Please refer to </w:t>
      </w:r>
      <w:r w:rsidR="00544C14">
        <w:t xml:space="preserve">the </w:t>
      </w:r>
      <w:r w:rsidR="00095429">
        <w:t>UK</w:t>
      </w:r>
      <w:r w:rsidR="0051587A">
        <w:t xml:space="preserve">VI </w:t>
      </w:r>
      <w:r w:rsidR="00F6106E">
        <w:t>Sponsorship, Endorsement and Financial Support Policy</w:t>
      </w:r>
      <w:r w:rsidR="00135FB2">
        <w:t xml:space="preserve"> </w:t>
      </w:r>
      <w:r w:rsidR="000915FA">
        <w:t>f</w:t>
      </w:r>
      <w:r w:rsidR="00E93180">
        <w:t xml:space="preserve">or </w:t>
      </w:r>
      <w:r w:rsidR="000915FA">
        <w:t xml:space="preserve">details of </w:t>
      </w:r>
      <w:r w:rsidR="00E93180">
        <w:t xml:space="preserve">support </w:t>
      </w:r>
      <w:r w:rsidR="002B5B42">
        <w:t xml:space="preserve">available </w:t>
      </w:r>
      <w:r w:rsidR="00E93180">
        <w:t>in these areas.</w:t>
      </w:r>
    </w:p>
    <w:p w14:paraId="4689076A" w14:textId="77777777" w:rsidR="00DA65F7" w:rsidRPr="00DA65F7" w:rsidRDefault="00DA65F7" w:rsidP="0002203C">
      <w:pPr>
        <w:pStyle w:val="Heading1"/>
      </w:pPr>
      <w:bookmarkStart w:id="13" w:name="_Toc123893715"/>
      <w:bookmarkStart w:id="14" w:name="_Toc201138552"/>
      <w:r w:rsidRPr="00DA65F7">
        <w:t>Allowances</w:t>
      </w:r>
      <w:bookmarkEnd w:id="13"/>
      <w:bookmarkEnd w:id="14"/>
    </w:p>
    <w:p w14:paraId="11EE524A" w14:textId="4459A2B8" w:rsidR="00DA65F7" w:rsidRPr="00DA65F7" w:rsidRDefault="00C776C9" w:rsidP="0002203C">
      <w:pPr>
        <w:pStyle w:val="Heading2"/>
      </w:pPr>
      <w:r>
        <w:t>E</w:t>
      </w:r>
      <w:r w:rsidR="00DA65F7">
        <w:t xml:space="preserve">ligible employees moving from within the UK or overseas will be entitled to claim </w:t>
      </w:r>
      <w:r w:rsidR="001B1694">
        <w:t xml:space="preserve">receipted </w:t>
      </w:r>
      <w:r w:rsidR="00DA65F7">
        <w:t xml:space="preserve">relocation expenses (including VAT), </w:t>
      </w:r>
      <w:r w:rsidR="008D274E">
        <w:t xml:space="preserve">up to £4,000. Please see annex </w:t>
      </w:r>
      <w:r w:rsidR="00E906DC">
        <w:rPr>
          <w:color w:val="auto"/>
        </w:rPr>
        <w:t>1</w:t>
      </w:r>
      <w:r w:rsidR="008D274E">
        <w:t xml:space="preserve"> for a list of eligible items that may be reclaimed.</w:t>
      </w:r>
    </w:p>
    <w:p w14:paraId="07337595" w14:textId="77777777" w:rsidR="00BF27F0" w:rsidRDefault="00DA65F7" w:rsidP="001F750E">
      <w:pPr>
        <w:pStyle w:val="Heading2"/>
      </w:pPr>
      <w:r>
        <w:t xml:space="preserve">Where eligible, employees relocating from overseas </w:t>
      </w:r>
      <w:r w:rsidR="008D274E">
        <w:t>are</w:t>
      </w:r>
      <w:r>
        <w:t xml:space="preserve"> entitled to claim</w:t>
      </w:r>
      <w:r w:rsidR="00BF27F0">
        <w:t xml:space="preserve"> up to £4k of receipted eligible expenses </w:t>
      </w:r>
      <w:proofErr w:type="spellStart"/>
      <w:r w:rsidR="00BF27F0">
        <w:t>inline</w:t>
      </w:r>
      <w:proofErr w:type="spellEnd"/>
      <w:r w:rsidR="00BF27F0">
        <w:t xml:space="preserve"> with 3.1</w:t>
      </w:r>
      <w:r>
        <w:t xml:space="preserve">, </w:t>
      </w:r>
      <w:r w:rsidR="008D274E">
        <w:t>a</w:t>
      </w:r>
      <w:r w:rsidR="00BF27F0">
        <w:t>nd</w:t>
      </w:r>
      <w:r w:rsidR="008D274E">
        <w:t xml:space="preserve"> </w:t>
      </w:r>
      <w:r w:rsidR="0033532A">
        <w:t xml:space="preserve">up to a </w:t>
      </w:r>
      <w:r w:rsidR="008D274E">
        <w:t>further £4</w:t>
      </w:r>
      <w:r>
        <w:t xml:space="preserve">,000 </w:t>
      </w:r>
      <w:r w:rsidR="00BF27F0">
        <w:t xml:space="preserve">of eligible </w:t>
      </w:r>
      <w:r w:rsidR="008809C3">
        <w:t>receipted expenses</w:t>
      </w:r>
      <w:r>
        <w:t xml:space="preserve">, </w:t>
      </w:r>
      <w:r w:rsidR="008D274E">
        <w:t>to cover</w:t>
      </w:r>
      <w:r>
        <w:t xml:space="preserve"> international travel</w:t>
      </w:r>
      <w:r w:rsidR="008D274E">
        <w:t xml:space="preserve"> and removal costs. </w:t>
      </w:r>
      <w:r w:rsidR="009C7E89">
        <w:t xml:space="preserve">Please see annex </w:t>
      </w:r>
      <w:r w:rsidR="009C7E89">
        <w:rPr>
          <w:color w:val="auto"/>
        </w:rPr>
        <w:t>1</w:t>
      </w:r>
      <w:r w:rsidR="009C7E89">
        <w:t xml:space="preserve"> for a list of eligible items that may be reclaimed.</w:t>
      </w:r>
      <w:r w:rsidR="001F750E">
        <w:t xml:space="preserve"> </w:t>
      </w:r>
    </w:p>
    <w:p w14:paraId="6CBB9A11" w14:textId="6DC705B9" w:rsidR="008D274E" w:rsidRPr="008D274E" w:rsidRDefault="00DA65F7" w:rsidP="00BF27F0">
      <w:pPr>
        <w:pStyle w:val="Heading3"/>
      </w:pPr>
      <w:r>
        <w:lastRenderedPageBreak/>
        <w:t>Visa and NHS entry costs</w:t>
      </w:r>
      <w:r w:rsidR="008D274E">
        <w:t xml:space="preserve"> are excluded </w:t>
      </w:r>
      <w:r w:rsidR="00F54639">
        <w:t xml:space="preserve">by the University </w:t>
      </w:r>
      <w:r w:rsidR="008D274E">
        <w:t xml:space="preserve">from </w:t>
      </w:r>
      <w:r w:rsidR="00F54639">
        <w:t xml:space="preserve">relocation </w:t>
      </w:r>
      <w:r w:rsidR="008D274E">
        <w:t>reimbursement</w:t>
      </w:r>
      <w:r w:rsidR="00F54639">
        <w:t>s</w:t>
      </w:r>
      <w:r>
        <w:t>.</w:t>
      </w:r>
      <w:r w:rsidR="008D274E">
        <w:t xml:space="preserve"> Staff seeking support for VISA and NHS costs should refer to the </w:t>
      </w:r>
      <w:r w:rsidR="00095429">
        <w:t>UK</w:t>
      </w:r>
      <w:r w:rsidR="00A9333C">
        <w:t>VI Spon</w:t>
      </w:r>
      <w:r w:rsidR="44CC4132">
        <w:t>so</w:t>
      </w:r>
      <w:r w:rsidR="00A9333C">
        <w:t>rship, Endorsement and Financial S</w:t>
      </w:r>
      <w:r w:rsidR="00385056">
        <w:t>upport Policy</w:t>
      </w:r>
    </w:p>
    <w:p w14:paraId="3126AACA" w14:textId="01A41D57" w:rsidR="00DA65F7" w:rsidRPr="00DA65F7" w:rsidRDefault="00DA65F7" w:rsidP="0002203C">
      <w:pPr>
        <w:pStyle w:val="Heading2"/>
      </w:pPr>
      <w:r w:rsidRPr="00DA65F7">
        <w:t xml:space="preserve">The total cost of all relocation </w:t>
      </w:r>
      <w:r w:rsidR="005958FB">
        <w:t>expenses claimed</w:t>
      </w:r>
      <w:r w:rsidRPr="00DA65F7">
        <w:t xml:space="preserve"> should not exceed </w:t>
      </w:r>
      <w:r w:rsidR="008D274E">
        <w:t xml:space="preserve">£4,000 for UK relocations </w:t>
      </w:r>
      <w:r w:rsidR="0051569D">
        <w:t>or</w:t>
      </w:r>
      <w:r w:rsidR="008D274E">
        <w:t xml:space="preserve"> </w:t>
      </w:r>
      <w:r w:rsidRPr="00DA65F7">
        <w:t>£8,000</w:t>
      </w:r>
      <w:r w:rsidR="008D274E">
        <w:t xml:space="preserve"> for relocations from overseas</w:t>
      </w:r>
      <w:r w:rsidRPr="00DA65F7">
        <w:t xml:space="preserve">. </w:t>
      </w:r>
      <w:r w:rsidR="00F54639">
        <w:t>All claims must be receipted and evidenced.</w:t>
      </w:r>
    </w:p>
    <w:p w14:paraId="59EF111A" w14:textId="12F6444E" w:rsidR="00DA65F7" w:rsidRPr="00DA65F7" w:rsidRDefault="00DA65F7" w:rsidP="0002203C">
      <w:pPr>
        <w:pStyle w:val="Heading2"/>
      </w:pPr>
      <w:r w:rsidRPr="00DA65F7">
        <w:t xml:space="preserve">Exceptional requests in excess of £8,000 are subject to HMRC tax and NI contributions and will require the </w:t>
      </w:r>
      <w:r w:rsidRPr="00DA65F7">
        <w:rPr>
          <w:b/>
          <w:bCs/>
        </w:rPr>
        <w:t>prior</w:t>
      </w:r>
      <w:r w:rsidRPr="00DA65F7">
        <w:t xml:space="preserve"> approval of the Dean/Director </w:t>
      </w:r>
      <w:r w:rsidRPr="00DA65F7">
        <w:rPr>
          <w:b/>
          <w:bCs/>
        </w:rPr>
        <w:t>and</w:t>
      </w:r>
      <w:r w:rsidRPr="00DA65F7">
        <w:t xml:space="preserve"> the Chief Officer (Resources). The costs of any tax and NI charges will be borne by the member of staff</w:t>
      </w:r>
      <w:r w:rsidR="00F410A8">
        <w:t>.</w:t>
      </w:r>
    </w:p>
    <w:p w14:paraId="436FF0A1" w14:textId="2946D56B" w:rsidR="00DA65F7" w:rsidRPr="00DA65F7" w:rsidRDefault="00DA65F7" w:rsidP="0002203C">
      <w:pPr>
        <w:pStyle w:val="Heading2"/>
      </w:pPr>
      <w:r w:rsidRPr="00DA65F7">
        <w:t>Payment of relocation expenses will only be made in relation to eligible expenditure and must be supported by original receipts</w:t>
      </w:r>
      <w:r w:rsidR="00F410A8">
        <w:t xml:space="preserve">. See Annex </w:t>
      </w:r>
      <w:r w:rsidR="00791951">
        <w:rPr>
          <w:color w:val="auto"/>
        </w:rPr>
        <w:t>1</w:t>
      </w:r>
      <w:r w:rsidR="00F410A8">
        <w:t>.</w:t>
      </w:r>
    </w:p>
    <w:p w14:paraId="386F36B1" w14:textId="77777777" w:rsidR="00DA65F7" w:rsidRPr="00DA65F7" w:rsidRDefault="00DA65F7" w:rsidP="0002203C">
      <w:pPr>
        <w:pStyle w:val="Heading2"/>
      </w:pPr>
      <w:r w:rsidRPr="00DA65F7">
        <w:t>A new member of staff will not be eligible to make a claim for assistance under the scheme if any other member of their household is claiming, or will be claiming, the relocation expenses in connection with the move, either from the University or from another source. In submitting an expense form the individual is agreeing to this requirement.</w:t>
      </w:r>
    </w:p>
    <w:p w14:paraId="1D91F4DA" w14:textId="77777777" w:rsidR="00DA65F7" w:rsidRPr="00DA65F7" w:rsidRDefault="00DA65F7" w:rsidP="0002203C">
      <w:pPr>
        <w:pStyle w:val="Heading1"/>
      </w:pPr>
      <w:bookmarkStart w:id="15" w:name="_Toc123893716"/>
      <w:bookmarkStart w:id="16" w:name="_Toc201138553"/>
      <w:r w:rsidRPr="00DA65F7">
        <w:t>Permissible Costs</w:t>
      </w:r>
      <w:bookmarkEnd w:id="15"/>
      <w:bookmarkEnd w:id="16"/>
    </w:p>
    <w:p w14:paraId="036B0CCA" w14:textId="47E036EF" w:rsidR="00DA65F7" w:rsidRPr="00DA65F7" w:rsidRDefault="00DA65F7" w:rsidP="00960EDF">
      <w:pPr>
        <w:pStyle w:val="Heading2"/>
      </w:pPr>
      <w:r w:rsidRPr="00DA65F7">
        <w:t>The University’s policy is that the type of relocation costs that the University will reimburse must fall within the HMRC definitions of qualifying costs for the purpose of tax relief</w:t>
      </w:r>
      <w:r w:rsidR="007C6CE3">
        <w:t xml:space="preserve">, </w:t>
      </w:r>
      <w:r w:rsidR="00D97502">
        <w:t>the University limits these</w:t>
      </w:r>
      <w:r w:rsidR="007C6CE3">
        <w:t xml:space="preserve"> items </w:t>
      </w:r>
      <w:r w:rsidR="00D97502">
        <w:t xml:space="preserve">to those </w:t>
      </w:r>
      <w:r w:rsidR="007C6CE3">
        <w:t xml:space="preserve">listed in </w:t>
      </w:r>
      <w:hyperlink w:anchor="_Annex_1_Eligible" w:history="1">
        <w:r w:rsidR="00960EDF" w:rsidRPr="00960EDF">
          <w:rPr>
            <w:rStyle w:val="Hyperlink"/>
          </w:rPr>
          <w:t>A</w:t>
        </w:r>
        <w:r w:rsidR="007C6CE3" w:rsidRPr="00960EDF">
          <w:rPr>
            <w:rStyle w:val="Hyperlink"/>
          </w:rPr>
          <w:t>nnex 1</w:t>
        </w:r>
      </w:hyperlink>
      <w:r w:rsidRPr="00DA65F7">
        <w:t>. The only exceptions being:</w:t>
      </w:r>
    </w:p>
    <w:p w14:paraId="0748792A" w14:textId="77777777" w:rsidR="00DA65F7" w:rsidRPr="00DA65F7" w:rsidRDefault="00DA65F7" w:rsidP="0002203C">
      <w:pPr>
        <w:pStyle w:val="Heading2"/>
      </w:pPr>
      <w:r w:rsidRPr="00DA65F7">
        <w:t>Payments made above the £8,000 HMRC relief limit</w:t>
      </w:r>
    </w:p>
    <w:p w14:paraId="025CF456" w14:textId="5C3AF061" w:rsidR="00DA65F7" w:rsidRPr="00DA65F7" w:rsidRDefault="00DA65F7" w:rsidP="0002203C">
      <w:pPr>
        <w:pStyle w:val="Heading2"/>
      </w:pPr>
      <w:r w:rsidRPr="00DA65F7">
        <w:t xml:space="preserve">A list of eligible costs </w:t>
      </w:r>
      <w:r w:rsidR="00F81D4A">
        <w:t xml:space="preserve">approved by the University </w:t>
      </w:r>
      <w:r w:rsidRPr="00DA65F7">
        <w:t xml:space="preserve">can be found at </w:t>
      </w:r>
      <w:hyperlink w:anchor="_Annex_1_Eligible" w:history="1">
        <w:r w:rsidRPr="00DA65F7">
          <w:rPr>
            <w:color w:val="0563C1" w:themeColor="hyperlink"/>
            <w:u w:val="single"/>
          </w:rPr>
          <w:t>Annex 1</w:t>
        </w:r>
      </w:hyperlink>
    </w:p>
    <w:p w14:paraId="431643EF" w14:textId="4459DD92" w:rsidR="00DA65F7" w:rsidRPr="00DA65F7" w:rsidRDefault="00DA65F7" w:rsidP="0002203C">
      <w:pPr>
        <w:pStyle w:val="Heading2"/>
      </w:pPr>
      <w:r w:rsidRPr="00DA65F7">
        <w:t>Where interpretation of guidance remains in doubt</w:t>
      </w:r>
      <w:r w:rsidR="00FA24DC">
        <w:t>,</w:t>
      </w:r>
      <w:r w:rsidRPr="00DA65F7">
        <w:t xml:space="preserve"> please contact the Head of Payroll and Pensions </w:t>
      </w:r>
      <w:hyperlink r:id="rId16" w:history="1">
        <w:r w:rsidRPr="00DA65F7">
          <w:rPr>
            <w:color w:val="0563C1" w:themeColor="hyperlink"/>
            <w:u w:val="single"/>
          </w:rPr>
          <w:t>payroll@cardiffmet.ac.uk</w:t>
        </w:r>
      </w:hyperlink>
    </w:p>
    <w:p w14:paraId="4EBF76E6" w14:textId="77777777" w:rsidR="00DA65F7" w:rsidRPr="00DA65F7" w:rsidRDefault="00DA65F7" w:rsidP="00D572F3">
      <w:pPr>
        <w:pStyle w:val="Heading1"/>
      </w:pPr>
      <w:bookmarkStart w:id="17" w:name="_Toc123893717"/>
      <w:bookmarkStart w:id="18" w:name="_Toc201138554"/>
      <w:r w:rsidRPr="00DA65F7">
        <w:t>Claiming Relocation Expenses</w:t>
      </w:r>
      <w:bookmarkEnd w:id="17"/>
      <w:bookmarkEnd w:id="18"/>
    </w:p>
    <w:p w14:paraId="2241226F" w14:textId="77777777" w:rsidR="00DA65F7" w:rsidRPr="00DA65F7" w:rsidRDefault="00DA65F7" w:rsidP="0002203C">
      <w:pPr>
        <w:pStyle w:val="Heading2"/>
      </w:pPr>
      <w:r w:rsidRPr="00DA65F7">
        <w:t xml:space="preserve">Relocation expenses must be submitted on a properly completed </w:t>
      </w:r>
      <w:hyperlink w:anchor="_Annex_2_Relocation" w:history="1">
        <w:r w:rsidRPr="00DA65F7">
          <w:rPr>
            <w:color w:val="0563C1" w:themeColor="hyperlink"/>
            <w:u w:val="single"/>
          </w:rPr>
          <w:t>removal expenses claim form</w:t>
        </w:r>
      </w:hyperlink>
      <w:r w:rsidRPr="00DA65F7">
        <w:t xml:space="preserve"> together with supporting </w:t>
      </w:r>
      <w:r w:rsidRPr="00C5170E">
        <w:rPr>
          <w:u w:val="single"/>
        </w:rPr>
        <w:t>original</w:t>
      </w:r>
      <w:r w:rsidRPr="00DA65F7">
        <w:t xml:space="preserve"> receipts. </w:t>
      </w:r>
    </w:p>
    <w:p w14:paraId="37D2BDBD" w14:textId="3A69852A" w:rsidR="00DA65F7" w:rsidRPr="00DA65F7" w:rsidRDefault="00DA65F7" w:rsidP="0002203C">
      <w:pPr>
        <w:pStyle w:val="Heading2"/>
      </w:pPr>
      <w:r w:rsidRPr="00DA65F7">
        <w:t xml:space="preserve">Relocation expenses claims cannot be made in advance of the employee’s start date and no </w:t>
      </w:r>
      <w:r w:rsidR="00C833FC">
        <w:t xml:space="preserve">relocation expense </w:t>
      </w:r>
      <w:r w:rsidRPr="00DA65F7">
        <w:t xml:space="preserve">advances will be made. </w:t>
      </w:r>
    </w:p>
    <w:p w14:paraId="6C5774BA" w14:textId="1A48F0A5" w:rsidR="00932169" w:rsidRPr="00932169" w:rsidRDefault="00720AA5" w:rsidP="008643F6">
      <w:pPr>
        <w:pStyle w:val="Heading2"/>
        <w:rPr>
          <w:color w:val="auto"/>
          <w:szCs w:val="24"/>
        </w:rPr>
      </w:pPr>
      <w:r w:rsidRPr="009801C2">
        <w:t xml:space="preserve">To qualify for tax exemption, removal </w:t>
      </w:r>
      <w:r w:rsidR="00C833FC">
        <w:t>e</w:t>
      </w:r>
      <w:r w:rsidRPr="009801C2">
        <w:t>xpenses must be incurred and claimed within 12 months of the employment start date</w:t>
      </w:r>
      <w:r w:rsidR="00E63108">
        <w:t xml:space="preserve"> </w:t>
      </w:r>
    </w:p>
    <w:p w14:paraId="6EFC2708" w14:textId="43913E3E" w:rsidR="00DA65F7" w:rsidRPr="00E21AAF" w:rsidRDefault="00DA65F7" w:rsidP="00DA65F7">
      <w:pPr>
        <w:pStyle w:val="Heading2"/>
        <w:numPr>
          <w:ilvl w:val="0"/>
          <w:numId w:val="26"/>
        </w:numPr>
        <w:rPr>
          <w:color w:val="auto"/>
          <w:szCs w:val="24"/>
        </w:rPr>
      </w:pPr>
      <w:r w:rsidRPr="00DA65F7">
        <w:rPr>
          <w:color w:val="auto"/>
          <w:szCs w:val="24"/>
        </w:rPr>
        <w:t xml:space="preserve">All claims made outside of the HMRC time limits are fully taxable even if the claim is less than £8,000. Claims received outside of the HMRC time period will be taxed at the employee’s income tax rate applicable at the time and taxes will be deducted from employees’ pay. It is therefore in </w:t>
      </w:r>
      <w:r w:rsidRPr="00DA65F7">
        <w:rPr>
          <w:color w:val="auto"/>
          <w:szCs w:val="24"/>
        </w:rPr>
        <w:lastRenderedPageBreak/>
        <w:t>employees’ best interests to submit a prompt claim.</w:t>
      </w:r>
      <w:r w:rsidR="00E21AAF">
        <w:rPr>
          <w:color w:val="auto"/>
          <w:szCs w:val="24"/>
        </w:rPr>
        <w:t xml:space="preserve"> Tax costs arising from late submissions will be borne by the employee.</w:t>
      </w:r>
    </w:p>
    <w:p w14:paraId="6F2CB9F4" w14:textId="0F8150AA" w:rsidR="00DA65F7" w:rsidRPr="00DA65F7" w:rsidRDefault="00DA65F7" w:rsidP="007A2623">
      <w:pPr>
        <w:pStyle w:val="Heading3"/>
      </w:pPr>
      <w:r w:rsidRPr="00DA65F7">
        <w:t>Employees should allow up to six weeks for claims to be received and processed by Finance a</w:t>
      </w:r>
      <w:r w:rsidR="00A83A38">
        <w:t>nd</w:t>
      </w:r>
      <w:r w:rsidRPr="00DA65F7">
        <w:t xml:space="preserve"> payments will be made on the subsequent payroll run.</w:t>
      </w:r>
    </w:p>
    <w:p w14:paraId="21E6B24A" w14:textId="050E34EF" w:rsidR="00DA65F7" w:rsidRPr="00DA65F7" w:rsidRDefault="00DA65F7" w:rsidP="0002203C">
      <w:pPr>
        <w:pStyle w:val="Heading3"/>
      </w:pPr>
      <w:r w:rsidRPr="00DA65F7">
        <w:t xml:space="preserve">Employees </w:t>
      </w:r>
      <w:r w:rsidR="00EF3CCE">
        <w:t>must</w:t>
      </w:r>
      <w:r w:rsidRPr="00DA65F7">
        <w:t xml:space="preserve"> take account of the above time limitations when submitting a claim.</w:t>
      </w:r>
    </w:p>
    <w:p w14:paraId="2A52830C" w14:textId="77777777" w:rsidR="00DA65F7" w:rsidRDefault="00DA65F7" w:rsidP="0002203C">
      <w:pPr>
        <w:pStyle w:val="Heading2"/>
      </w:pPr>
      <w:r w:rsidRPr="00DA65F7">
        <w:t>All claims in relation to this policy and procedure must be made in a single claim after the newly appointed employee has started work.</w:t>
      </w:r>
    </w:p>
    <w:p w14:paraId="6BA7B27D" w14:textId="6475CA0A" w:rsidR="000C7CFA" w:rsidRPr="00DA65F7" w:rsidRDefault="000C7CFA" w:rsidP="000C7CFA">
      <w:pPr>
        <w:pStyle w:val="Heading2"/>
      </w:pPr>
      <w:r w:rsidRPr="00DA65F7">
        <w:t xml:space="preserve">Claims will be met by the departmental budget of the employing school or unit. </w:t>
      </w:r>
    </w:p>
    <w:p w14:paraId="3A7A25BF" w14:textId="329B09CC" w:rsidR="00DA65F7" w:rsidRPr="00DA65F7" w:rsidRDefault="00DA65F7" w:rsidP="0002203C">
      <w:pPr>
        <w:pStyle w:val="Heading2"/>
      </w:pPr>
      <w:r w:rsidRPr="00DA65F7">
        <w:t xml:space="preserve">Claims must be authorised by the relevant Dean, Director or delegated budget holder. Once approved the claim should be sent to </w:t>
      </w:r>
      <w:hyperlink r:id="rId17" w:history="1">
        <w:r w:rsidRPr="00DA65F7">
          <w:rPr>
            <w:color w:val="0563C1" w:themeColor="hyperlink"/>
            <w:u w:val="single"/>
          </w:rPr>
          <w:t>payroll@cardiffmet.ac.uk</w:t>
        </w:r>
      </w:hyperlink>
      <w:r w:rsidRPr="00DA65F7">
        <w:t xml:space="preserve">  for checking and processing</w:t>
      </w:r>
      <w:r w:rsidR="00716F14">
        <w:t>.</w:t>
      </w:r>
      <w:r w:rsidRPr="00DA65F7">
        <w:rPr>
          <w:u w:val="single"/>
        </w:rPr>
        <w:t xml:space="preserve"> </w:t>
      </w:r>
    </w:p>
    <w:p w14:paraId="79F877D6" w14:textId="77777777" w:rsidR="00DA65F7" w:rsidRPr="00DA65F7" w:rsidRDefault="00DA65F7" w:rsidP="0002203C">
      <w:pPr>
        <w:pStyle w:val="Heading1"/>
      </w:pPr>
      <w:bookmarkStart w:id="19" w:name="_Toc123893719"/>
      <w:bookmarkStart w:id="20" w:name="_Toc201138555"/>
      <w:r w:rsidRPr="00DA65F7">
        <w:t>Repayment of Relocation Expenses</w:t>
      </w:r>
      <w:bookmarkEnd w:id="19"/>
      <w:bookmarkEnd w:id="20"/>
    </w:p>
    <w:p w14:paraId="4C1A4381" w14:textId="42C93372" w:rsidR="00DA65F7" w:rsidRPr="00DA65F7" w:rsidRDefault="00DA65F7" w:rsidP="0002203C">
      <w:pPr>
        <w:pStyle w:val="Heading2"/>
      </w:pPr>
      <w:r w:rsidRPr="00DA65F7">
        <w:t>When claiming relocation expenses, the employee sign</w:t>
      </w:r>
      <w:r w:rsidR="00391884">
        <w:t>s</w:t>
      </w:r>
      <w:r w:rsidRPr="00DA65F7">
        <w:t xml:space="preserve"> a declaration to indicate that should they leave the employment of the University before the completion of 3 years’ service, that they understand that all, or a proportion of the relocation payment must be repaid to the University.</w:t>
      </w:r>
    </w:p>
    <w:p w14:paraId="269C81F5" w14:textId="0088C0E7" w:rsidR="00DA65F7" w:rsidRPr="00DA65F7" w:rsidRDefault="00DA65F7" w:rsidP="0002203C">
      <w:pPr>
        <w:pStyle w:val="Heading2"/>
      </w:pPr>
      <w:r w:rsidRPr="00DA65F7">
        <w:t xml:space="preserve">Where the employee leaves Cardiff Metropolitan University within 3 years of appointment, the University will be repaid on the following basis: </w:t>
      </w:r>
    </w:p>
    <w:p w14:paraId="5D326287" w14:textId="77777777" w:rsidR="00DA65F7" w:rsidRPr="00DA65F7" w:rsidRDefault="00DA65F7" w:rsidP="0002203C">
      <w:pPr>
        <w:pStyle w:val="Heading3"/>
      </w:pPr>
      <w:r w:rsidRPr="00DA65F7">
        <w:t xml:space="preserve">Within one year of employment: 100% of sums paid. </w:t>
      </w:r>
    </w:p>
    <w:p w14:paraId="70FABCAB" w14:textId="77777777" w:rsidR="00DA65F7" w:rsidRPr="00DA65F7" w:rsidRDefault="00DA65F7" w:rsidP="0002203C">
      <w:pPr>
        <w:pStyle w:val="Heading3"/>
      </w:pPr>
      <w:r w:rsidRPr="00DA65F7">
        <w:t xml:space="preserve">Within two years of appointment: 50% of sums paid. </w:t>
      </w:r>
    </w:p>
    <w:p w14:paraId="5E24CDFA" w14:textId="77777777" w:rsidR="00DA65F7" w:rsidRPr="00DA65F7" w:rsidRDefault="00DA65F7" w:rsidP="0002203C">
      <w:pPr>
        <w:pStyle w:val="Heading3"/>
      </w:pPr>
      <w:r w:rsidRPr="00DA65F7">
        <w:t>Within three years of appointment: 25% of sums paid.</w:t>
      </w:r>
    </w:p>
    <w:p w14:paraId="44FED25A" w14:textId="3B932427" w:rsidR="00DA65F7" w:rsidRPr="00DA65F7" w:rsidRDefault="00DA65F7" w:rsidP="0002203C">
      <w:pPr>
        <w:pStyle w:val="Heading3"/>
      </w:pPr>
      <w:r w:rsidRPr="00DA65F7">
        <w:t xml:space="preserve">By exception, for certain posts alternative repayment terms may be agreed </w:t>
      </w:r>
      <w:r w:rsidR="00B93444">
        <w:t xml:space="preserve">by the Chief Officer Resources </w:t>
      </w:r>
      <w:r w:rsidRPr="00DA65F7">
        <w:t>in the engaging employment contract</w:t>
      </w:r>
      <w:r w:rsidR="0050551A">
        <w:t>.</w:t>
      </w:r>
    </w:p>
    <w:p w14:paraId="7ED89B10" w14:textId="77777777" w:rsidR="00DA65F7" w:rsidRPr="00DA65F7" w:rsidRDefault="00DA65F7" w:rsidP="0002203C">
      <w:pPr>
        <w:pStyle w:val="Heading2"/>
      </w:pPr>
      <w:r w:rsidRPr="00DA65F7">
        <w:t xml:space="preserve">The requirement to repay relocation expenses will be waived should an employee leave before the three years has expired following a change instigated by the University over which the individual has no direct control. </w:t>
      </w:r>
    </w:p>
    <w:p w14:paraId="56C1A2E2" w14:textId="77777777" w:rsidR="00DA65F7" w:rsidRPr="00DA65F7" w:rsidRDefault="00DA65F7" w:rsidP="0002203C">
      <w:pPr>
        <w:pStyle w:val="Heading2"/>
      </w:pPr>
      <w:r w:rsidRPr="00DA65F7">
        <w:t>Where a member of staff has received relocation expenses and leaves the University within the 3-year period, the budget holder must promptly notify the Finance and People Services Departments so that a payroll deduction can be processed.</w:t>
      </w:r>
    </w:p>
    <w:p w14:paraId="5D928B7F" w14:textId="77777777" w:rsidR="00DA65F7" w:rsidRPr="00DA65F7" w:rsidRDefault="00DA65F7" w:rsidP="0002203C">
      <w:pPr>
        <w:pStyle w:val="Heading2"/>
      </w:pPr>
      <w:r w:rsidRPr="00DA65F7">
        <w:t xml:space="preserve">Wherever practical, and in most cases, the repayment will be deducted automatically from the employee’s salary.  If there is an outstanding balance, the employee will be required to repay the amount due before they leave the University’s employment. </w:t>
      </w:r>
    </w:p>
    <w:p w14:paraId="59FE6758" w14:textId="77777777" w:rsidR="00DA65F7" w:rsidRPr="00DA65F7" w:rsidRDefault="00DA65F7" w:rsidP="0002203C">
      <w:pPr>
        <w:pStyle w:val="Heading1"/>
      </w:pPr>
      <w:bookmarkStart w:id="21" w:name="_Toc123893720"/>
      <w:bookmarkStart w:id="22" w:name="_Toc201138556"/>
      <w:r w:rsidRPr="00DA65F7">
        <w:t>Policy Revision</w:t>
      </w:r>
      <w:bookmarkEnd w:id="21"/>
      <w:bookmarkEnd w:id="22"/>
    </w:p>
    <w:p w14:paraId="0FCF7D81" w14:textId="77777777" w:rsidR="00DA65F7" w:rsidRPr="00DA65F7" w:rsidRDefault="00DA65F7" w:rsidP="0002203C">
      <w:pPr>
        <w:pStyle w:val="Heading2"/>
      </w:pPr>
      <w:r w:rsidRPr="00DA65F7">
        <w:lastRenderedPageBreak/>
        <w:t>The Finance Department and People Services Department will proactively advise and support the application of this policy.</w:t>
      </w:r>
    </w:p>
    <w:p w14:paraId="260E6BDF" w14:textId="77777777" w:rsidR="00DA65F7" w:rsidRPr="00DA65F7" w:rsidRDefault="00DA65F7" w:rsidP="0002203C">
      <w:pPr>
        <w:pStyle w:val="Heading2"/>
      </w:pPr>
      <w:r w:rsidRPr="00DA65F7">
        <w:t>To ensure it is relevant and effective, this policy will be reviewed every three years or whenever there is a change in the University’s requirements, employment legislation or case law.</w:t>
      </w:r>
    </w:p>
    <w:p w14:paraId="124D11B9" w14:textId="77777777" w:rsidR="00DA65F7" w:rsidRPr="00DA65F7" w:rsidRDefault="00DA65F7" w:rsidP="00DA65F7">
      <w:pPr>
        <w:spacing w:before="160" w:after="120"/>
        <w:ind w:left="576"/>
        <w:jc w:val="both"/>
        <w:outlineLvl w:val="1"/>
        <w:rPr>
          <w:rFonts w:eastAsiaTheme="majorEastAsia" w:cstheme="majorBidi"/>
          <w:color w:val="auto"/>
          <w:szCs w:val="26"/>
        </w:rPr>
      </w:pPr>
    </w:p>
    <w:p w14:paraId="31AD932A" w14:textId="77777777" w:rsidR="00DA65F7" w:rsidRPr="00DA65F7" w:rsidRDefault="00DA65F7" w:rsidP="00DA65F7">
      <w:pPr>
        <w:rPr>
          <w:color w:val="auto"/>
        </w:rPr>
      </w:pPr>
    </w:p>
    <w:p w14:paraId="6AF38B7F" w14:textId="77777777" w:rsidR="00DA65F7" w:rsidRPr="00DA65F7" w:rsidRDefault="00DA65F7" w:rsidP="00DA65F7">
      <w:pPr>
        <w:rPr>
          <w:color w:val="auto"/>
        </w:rPr>
      </w:pPr>
    </w:p>
    <w:p w14:paraId="1C3B6DCA" w14:textId="77777777" w:rsidR="00DA65F7" w:rsidRPr="00DA65F7" w:rsidRDefault="00DA65F7" w:rsidP="00DA65F7">
      <w:pPr>
        <w:rPr>
          <w:color w:val="auto"/>
        </w:rPr>
      </w:pPr>
    </w:p>
    <w:p w14:paraId="2EEFB287" w14:textId="77777777" w:rsidR="00DA65F7" w:rsidRPr="00DA65F7" w:rsidRDefault="00DA65F7" w:rsidP="00DA65F7">
      <w:pPr>
        <w:rPr>
          <w:color w:val="auto"/>
        </w:rPr>
      </w:pPr>
    </w:p>
    <w:p w14:paraId="3CA0BE35" w14:textId="77777777" w:rsidR="00DA65F7" w:rsidRPr="00DA65F7" w:rsidRDefault="00DA65F7" w:rsidP="00DA65F7">
      <w:pPr>
        <w:rPr>
          <w:color w:val="auto"/>
        </w:rPr>
      </w:pPr>
    </w:p>
    <w:p w14:paraId="7DADD6EF" w14:textId="77777777" w:rsidR="00DA65F7" w:rsidRPr="00DA65F7" w:rsidRDefault="00DA65F7" w:rsidP="00DA65F7">
      <w:pPr>
        <w:rPr>
          <w:color w:val="auto"/>
        </w:rPr>
      </w:pPr>
    </w:p>
    <w:p w14:paraId="111B8D4E" w14:textId="77777777" w:rsidR="00DA65F7" w:rsidRPr="00DA65F7" w:rsidRDefault="00DA65F7" w:rsidP="00DA65F7">
      <w:pPr>
        <w:rPr>
          <w:color w:val="auto"/>
        </w:rPr>
      </w:pPr>
    </w:p>
    <w:p w14:paraId="6908B430" w14:textId="77777777" w:rsidR="00DA65F7" w:rsidRPr="00DA65F7" w:rsidRDefault="00DA65F7" w:rsidP="00DA65F7">
      <w:pPr>
        <w:rPr>
          <w:color w:val="auto"/>
        </w:rPr>
      </w:pPr>
    </w:p>
    <w:p w14:paraId="0DF580E3" w14:textId="77777777" w:rsidR="00DA65F7" w:rsidRPr="00DA65F7" w:rsidRDefault="00DA65F7" w:rsidP="00DA65F7">
      <w:pPr>
        <w:rPr>
          <w:color w:val="auto"/>
        </w:rPr>
      </w:pPr>
    </w:p>
    <w:p w14:paraId="1E5E4A13" w14:textId="77777777" w:rsidR="00DA65F7" w:rsidRPr="00DA65F7" w:rsidRDefault="00DA65F7" w:rsidP="00DA65F7">
      <w:pPr>
        <w:rPr>
          <w:color w:val="auto"/>
        </w:rPr>
      </w:pPr>
    </w:p>
    <w:p w14:paraId="224C8AEE" w14:textId="77777777" w:rsidR="00DA65F7" w:rsidRPr="00DA65F7" w:rsidRDefault="00DA65F7" w:rsidP="00DA65F7">
      <w:pPr>
        <w:rPr>
          <w:color w:val="auto"/>
        </w:rPr>
      </w:pPr>
    </w:p>
    <w:p w14:paraId="6D7A7FA2" w14:textId="77777777" w:rsidR="00DA65F7" w:rsidRPr="00DA65F7" w:rsidRDefault="00DA65F7" w:rsidP="00DA65F7">
      <w:pPr>
        <w:rPr>
          <w:color w:val="auto"/>
        </w:rPr>
      </w:pPr>
    </w:p>
    <w:p w14:paraId="0F7F6C61" w14:textId="77777777" w:rsidR="00DA65F7" w:rsidRPr="00DA65F7" w:rsidRDefault="00DA65F7" w:rsidP="00DA65F7">
      <w:pPr>
        <w:rPr>
          <w:color w:val="auto"/>
        </w:rPr>
      </w:pPr>
      <w:r w:rsidRPr="00DA65F7">
        <w:rPr>
          <w:color w:val="auto"/>
        </w:rPr>
        <w:br w:type="page"/>
      </w:r>
    </w:p>
    <w:p w14:paraId="228B8DCB" w14:textId="5E1BB8D1" w:rsidR="003F3DC1" w:rsidRDefault="003F3DC1" w:rsidP="005271DB">
      <w:pPr>
        <w:pStyle w:val="Heading1"/>
      </w:pPr>
      <w:bookmarkStart w:id="23" w:name="_Annex_1_Eligible"/>
      <w:bookmarkStart w:id="24" w:name="_Toc201138557"/>
      <w:bookmarkEnd w:id="23"/>
      <w:r w:rsidRPr="002F0809">
        <w:lastRenderedPageBreak/>
        <w:t>Annex 1 Eligible Relocation Expenses</w:t>
      </w:r>
      <w:bookmarkEnd w:id="24"/>
    </w:p>
    <w:p w14:paraId="5ECB5F43" w14:textId="10286AE2" w:rsidR="003F3DC1" w:rsidRDefault="003F3DC1" w:rsidP="005271DB">
      <w:pPr>
        <w:pStyle w:val="Heading2"/>
      </w:pPr>
      <w:r w:rsidRPr="00502585">
        <w:t xml:space="preserve">The Relocation Policy has eligible costs that </w:t>
      </w:r>
      <w:r>
        <w:t xml:space="preserve">are </w:t>
      </w:r>
      <w:r w:rsidRPr="00502585">
        <w:t>approved and agreed at the University’s discretion</w:t>
      </w:r>
      <w:r>
        <w:t xml:space="preserve">, it does </w:t>
      </w:r>
      <w:r w:rsidRPr="00502585">
        <w:t xml:space="preserve">not include all the categories of </w:t>
      </w:r>
      <w:r>
        <w:t xml:space="preserve">tax exempt allowances </w:t>
      </w:r>
      <w:r w:rsidRPr="00502585">
        <w:t>outlined in</w:t>
      </w:r>
      <w:r>
        <w:t xml:space="preserve"> </w:t>
      </w:r>
      <w:hyperlink r:id="rId18">
        <w:r w:rsidRPr="5546E0AF">
          <w:rPr>
            <w:rStyle w:val="Hyperlink"/>
            <w:rFonts w:cs="Arial"/>
          </w:rPr>
          <w:t>HMRC's rules</w:t>
        </w:r>
      </w:hyperlink>
      <w:r>
        <w:t>.</w:t>
      </w:r>
      <w:r w:rsidRPr="00502585">
        <w:t xml:space="preserve"> The </w:t>
      </w:r>
      <w:r>
        <w:t xml:space="preserve">University’s </w:t>
      </w:r>
      <w:r w:rsidRPr="00502585">
        <w:t>eligible costs are outlined below</w:t>
      </w:r>
      <w:r w:rsidR="00151C0A" w:rsidRPr="00502585">
        <w:t>,</w:t>
      </w:r>
      <w:r>
        <w:t xml:space="preserve"> and these are the only expenses that will be reimbursed. In all cases, the best value possible must be sought. Relocation expenses may be claimed by new employees appointed on an open-ended permanent contract. </w:t>
      </w:r>
    </w:p>
    <w:p w14:paraId="3B128839" w14:textId="39FEBF62" w:rsidR="003F3DC1" w:rsidRDefault="003F3DC1" w:rsidP="005271DB">
      <w:pPr>
        <w:pStyle w:val="Heading2"/>
      </w:pPr>
      <w:r>
        <w:t>Cost of hotel (or equivalent) for one preliminary visit to the area to secure long term accommodation, up to a maximum of 2 nights (this does not include travel and subsistence).</w:t>
      </w:r>
    </w:p>
    <w:p w14:paraId="5100C859" w14:textId="4A585934" w:rsidR="003F3DC1" w:rsidRDefault="003F3DC1" w:rsidP="005271DB">
      <w:pPr>
        <w:pStyle w:val="Heading2"/>
      </w:pPr>
      <w:r>
        <w:t xml:space="preserve">Personal travel to take up post – one trip only. </w:t>
      </w:r>
      <w:r w:rsidRPr="00E16486">
        <w:t>Travel costs for the newly appointed employee and immediate family will be covered. Immediate family are partner and dependent children aged 18 and under. Other family members, such as parents, are not included</w:t>
      </w:r>
      <w:r>
        <w:t xml:space="preserve">. </w:t>
      </w:r>
    </w:p>
    <w:p w14:paraId="2612EFC6" w14:textId="77777777" w:rsidR="003F3DC1" w:rsidRDefault="003F3DC1" w:rsidP="005271DB">
      <w:pPr>
        <w:pStyle w:val="Heading2"/>
      </w:pPr>
      <w:r>
        <w:t xml:space="preserve">Where class of travel above economy or standard is preferred, the University will only reimburse the cost of economy/standard </w:t>
      </w:r>
      <w:proofErr w:type="gramStart"/>
      <w:r>
        <w:t>fare</w:t>
      </w:r>
      <w:proofErr w:type="gramEnd"/>
      <w:r>
        <w:t xml:space="preserve"> and the newly appointed employee will pay the difference. In this situation, evidence of economy travel costs on the date of travelling must be provided by the newly appointed employee. </w:t>
      </w:r>
    </w:p>
    <w:p w14:paraId="3F8558EB" w14:textId="77777777" w:rsidR="003F3DC1" w:rsidRDefault="003F3DC1" w:rsidP="005271DB">
      <w:pPr>
        <w:pStyle w:val="Heading2"/>
      </w:pPr>
      <w:r w:rsidRPr="5546E0AF">
        <w:t>Personal travel may include:</w:t>
      </w:r>
    </w:p>
    <w:p w14:paraId="79B10EFA" w14:textId="77777777" w:rsidR="003F3DC1" w:rsidRPr="008F5034" w:rsidRDefault="003F3DC1" w:rsidP="00E371FB">
      <w:pPr>
        <w:pStyle w:val="Heading2"/>
        <w:numPr>
          <w:ilvl w:val="0"/>
          <w:numId w:val="26"/>
        </w:numPr>
        <w:rPr>
          <w:rFonts w:cs="Arial"/>
        </w:rPr>
      </w:pPr>
      <w:r>
        <w:rPr>
          <w:rFonts w:cs="Arial"/>
        </w:rPr>
        <w:t xml:space="preserve">Car travel UK: </w:t>
      </w:r>
      <w:r w:rsidRPr="00AB70BC">
        <w:rPr>
          <w:rFonts w:eastAsia="Times New Roman"/>
        </w:rPr>
        <w:t>mileage allowance at the current rate of direct travel from the previous residence to the new residence</w:t>
      </w:r>
      <w:r>
        <w:rPr>
          <w:rFonts w:eastAsia="Times New Roman"/>
        </w:rPr>
        <w:t xml:space="preserve"> </w:t>
      </w:r>
    </w:p>
    <w:p w14:paraId="18988455" w14:textId="77777777" w:rsidR="003F3DC1" w:rsidRPr="00E371FB" w:rsidRDefault="003F3DC1" w:rsidP="00E371FB">
      <w:pPr>
        <w:pStyle w:val="Heading2"/>
        <w:numPr>
          <w:ilvl w:val="0"/>
          <w:numId w:val="26"/>
        </w:numPr>
        <w:rPr>
          <w:rFonts w:cs="Arial"/>
        </w:rPr>
      </w:pPr>
      <w:r w:rsidRPr="00E371FB">
        <w:rPr>
          <w:rFonts w:cs="Arial"/>
        </w:rPr>
        <w:t>Car travel International: reimbursement for receipted petrol costs</w:t>
      </w:r>
    </w:p>
    <w:p w14:paraId="2E197FEE" w14:textId="77777777" w:rsidR="003F3DC1" w:rsidRPr="00E371FB" w:rsidRDefault="003F3DC1" w:rsidP="00E371FB">
      <w:pPr>
        <w:pStyle w:val="Heading2"/>
        <w:numPr>
          <w:ilvl w:val="0"/>
          <w:numId w:val="26"/>
        </w:numPr>
        <w:rPr>
          <w:rFonts w:cs="Arial"/>
        </w:rPr>
      </w:pPr>
      <w:r w:rsidRPr="00E371FB">
        <w:rPr>
          <w:rFonts w:cs="Arial"/>
        </w:rPr>
        <w:t>Rail travel: the cost of standard rate rail fare</w:t>
      </w:r>
    </w:p>
    <w:p w14:paraId="234D9924" w14:textId="77777777" w:rsidR="003F3DC1" w:rsidRPr="00E371FB" w:rsidRDefault="003F3DC1" w:rsidP="00E371FB">
      <w:pPr>
        <w:pStyle w:val="Heading2"/>
        <w:numPr>
          <w:ilvl w:val="0"/>
          <w:numId w:val="26"/>
        </w:numPr>
        <w:rPr>
          <w:rFonts w:cs="Arial"/>
        </w:rPr>
      </w:pPr>
      <w:r w:rsidRPr="00E371FB">
        <w:rPr>
          <w:rFonts w:cs="Arial"/>
        </w:rPr>
        <w:t>Coach travel: the cost of standard rate coach fare</w:t>
      </w:r>
    </w:p>
    <w:p w14:paraId="72F8BF16" w14:textId="77777777" w:rsidR="003F3DC1" w:rsidRPr="00E371FB" w:rsidRDefault="003F3DC1" w:rsidP="00E371FB">
      <w:pPr>
        <w:pStyle w:val="Heading2"/>
        <w:numPr>
          <w:ilvl w:val="0"/>
          <w:numId w:val="26"/>
        </w:numPr>
        <w:rPr>
          <w:rFonts w:cs="Arial"/>
        </w:rPr>
      </w:pPr>
      <w:r w:rsidRPr="00E371FB">
        <w:rPr>
          <w:rFonts w:cs="Arial"/>
        </w:rPr>
        <w:t>Sea travel: the cost of standard rate for a car ferry</w:t>
      </w:r>
    </w:p>
    <w:p w14:paraId="4BC793FF" w14:textId="77777777" w:rsidR="003F3DC1" w:rsidRPr="00E371FB" w:rsidRDefault="003F3DC1" w:rsidP="00E371FB">
      <w:pPr>
        <w:pStyle w:val="Heading2"/>
        <w:numPr>
          <w:ilvl w:val="0"/>
          <w:numId w:val="26"/>
        </w:numPr>
        <w:rPr>
          <w:rFonts w:cs="Arial"/>
        </w:rPr>
      </w:pPr>
      <w:r w:rsidRPr="00E371FB">
        <w:rPr>
          <w:rFonts w:cs="Arial"/>
        </w:rPr>
        <w:t>Air travel: the cost of economy rate one-way flight</w:t>
      </w:r>
      <w:r w:rsidRPr="00E371FB">
        <w:rPr>
          <w:rFonts w:cs="Arial"/>
        </w:rPr>
        <w:tab/>
      </w:r>
    </w:p>
    <w:p w14:paraId="428571C8" w14:textId="77777777" w:rsidR="003F3DC1" w:rsidRDefault="003F3DC1" w:rsidP="00E371FB">
      <w:pPr>
        <w:pStyle w:val="Heading2"/>
        <w:numPr>
          <w:ilvl w:val="0"/>
          <w:numId w:val="26"/>
        </w:numPr>
        <w:rPr>
          <w:rFonts w:cs="Arial"/>
          <w:szCs w:val="24"/>
        </w:rPr>
      </w:pPr>
      <w:r w:rsidRPr="00E371FB">
        <w:rPr>
          <w:rFonts w:cs="Arial"/>
        </w:rPr>
        <w:t>Transporting up to 2 family pets at aeroplane or boat cargo rate only. Other forms</w:t>
      </w:r>
      <w:r>
        <w:rPr>
          <w:rFonts w:cs="Arial"/>
          <w:szCs w:val="24"/>
        </w:rPr>
        <w:t xml:space="preserve"> of pet transportation must be borne by the employee</w:t>
      </w:r>
    </w:p>
    <w:p w14:paraId="146ADED3" w14:textId="7DD399B2" w:rsidR="003F3DC1" w:rsidRPr="00502585" w:rsidRDefault="003F3DC1" w:rsidP="001C0EC8">
      <w:pPr>
        <w:pStyle w:val="Heading2"/>
      </w:pPr>
      <w:r w:rsidRPr="00502585">
        <w:t xml:space="preserve">Removal </w:t>
      </w:r>
      <w:r>
        <w:t xml:space="preserve">and transportation </w:t>
      </w:r>
      <w:r w:rsidRPr="00502585">
        <w:t>of furniture including:</w:t>
      </w:r>
    </w:p>
    <w:p w14:paraId="62F2FDF8" w14:textId="77777777" w:rsidR="003F3DC1" w:rsidRPr="00C945D7" w:rsidRDefault="003F3DC1" w:rsidP="00C945D7">
      <w:pPr>
        <w:pStyle w:val="Heading2"/>
        <w:numPr>
          <w:ilvl w:val="0"/>
          <w:numId w:val="26"/>
        </w:numPr>
        <w:rPr>
          <w:rFonts w:cs="Arial"/>
        </w:rPr>
      </w:pPr>
      <w:r w:rsidRPr="00C945D7">
        <w:rPr>
          <w:rFonts w:cs="Arial"/>
        </w:rPr>
        <w:t xml:space="preserve">Van Hire </w:t>
      </w:r>
    </w:p>
    <w:p w14:paraId="1F061193" w14:textId="30F99C8A" w:rsidR="003F3DC1" w:rsidRPr="00C945D7" w:rsidRDefault="003F3DC1" w:rsidP="00C945D7">
      <w:pPr>
        <w:pStyle w:val="Heading2"/>
        <w:numPr>
          <w:ilvl w:val="0"/>
          <w:numId w:val="26"/>
        </w:numPr>
        <w:rPr>
          <w:rFonts w:cs="Arial"/>
        </w:rPr>
      </w:pPr>
      <w:r w:rsidRPr="00C945D7">
        <w:rPr>
          <w:rFonts w:cs="Arial"/>
        </w:rPr>
        <w:t>Removals company – evidence must be provided of 3 quotations and the University will reimburse the cost of the lowest quote. Any difference will be paid by the newly appointed employee.</w:t>
      </w:r>
    </w:p>
    <w:p w14:paraId="46DCFF41" w14:textId="77777777" w:rsidR="003F3DC1" w:rsidRPr="00C945D7" w:rsidRDefault="003F3DC1" w:rsidP="00C945D7">
      <w:pPr>
        <w:pStyle w:val="Heading2"/>
        <w:numPr>
          <w:ilvl w:val="0"/>
          <w:numId w:val="26"/>
        </w:numPr>
        <w:rPr>
          <w:rFonts w:cs="Arial"/>
        </w:rPr>
      </w:pPr>
      <w:r w:rsidRPr="00C945D7">
        <w:rPr>
          <w:rFonts w:cs="Arial"/>
        </w:rPr>
        <w:t xml:space="preserve">Shipped packages </w:t>
      </w:r>
    </w:p>
    <w:p w14:paraId="27394C10" w14:textId="77777777" w:rsidR="003F3DC1" w:rsidRPr="00C945D7" w:rsidRDefault="003F3DC1" w:rsidP="00C945D7">
      <w:pPr>
        <w:pStyle w:val="Heading2"/>
        <w:numPr>
          <w:ilvl w:val="0"/>
          <w:numId w:val="26"/>
        </w:numPr>
        <w:rPr>
          <w:rFonts w:cs="Arial"/>
        </w:rPr>
      </w:pPr>
      <w:r w:rsidRPr="00C945D7">
        <w:rPr>
          <w:rFonts w:cs="Arial"/>
        </w:rPr>
        <w:t xml:space="preserve">Removals insurance </w:t>
      </w:r>
    </w:p>
    <w:p w14:paraId="5C27C76B" w14:textId="77777777" w:rsidR="003F3DC1" w:rsidRPr="00C945D7" w:rsidRDefault="003F3DC1" w:rsidP="00C945D7">
      <w:pPr>
        <w:pStyle w:val="Heading2"/>
        <w:numPr>
          <w:ilvl w:val="0"/>
          <w:numId w:val="26"/>
        </w:numPr>
        <w:rPr>
          <w:rFonts w:cs="Arial"/>
        </w:rPr>
      </w:pPr>
      <w:r w:rsidRPr="00C945D7">
        <w:rPr>
          <w:rFonts w:cs="Arial"/>
        </w:rPr>
        <w:lastRenderedPageBreak/>
        <w:t>Temporary storage fees for household effects, up to a maximum of 3 months</w:t>
      </w:r>
    </w:p>
    <w:p w14:paraId="7D1A4A41" w14:textId="7678BB47" w:rsidR="003F3DC1" w:rsidRDefault="003F3DC1" w:rsidP="001C0EC8">
      <w:pPr>
        <w:pStyle w:val="Heading2"/>
      </w:pPr>
      <w:r>
        <w:t>Professional expenses in relation to the purchase or sale of a residence, including:</w:t>
      </w:r>
    </w:p>
    <w:p w14:paraId="749F9F83" w14:textId="77777777" w:rsidR="003F3DC1" w:rsidRPr="00CD1624" w:rsidRDefault="003F3DC1" w:rsidP="00CD1624">
      <w:pPr>
        <w:pStyle w:val="Heading2"/>
        <w:numPr>
          <w:ilvl w:val="0"/>
          <w:numId w:val="26"/>
        </w:numPr>
        <w:rPr>
          <w:rFonts w:cs="Arial"/>
        </w:rPr>
      </w:pPr>
      <w:r w:rsidRPr="00CD1624">
        <w:rPr>
          <w:rFonts w:cs="Arial"/>
        </w:rPr>
        <w:t xml:space="preserve">Solicitors’ fees </w:t>
      </w:r>
    </w:p>
    <w:p w14:paraId="2AB76731" w14:textId="77777777" w:rsidR="003F3DC1" w:rsidRPr="00CD1624" w:rsidRDefault="003F3DC1" w:rsidP="00CD1624">
      <w:pPr>
        <w:pStyle w:val="Heading2"/>
        <w:numPr>
          <w:ilvl w:val="0"/>
          <w:numId w:val="26"/>
        </w:numPr>
        <w:rPr>
          <w:rFonts w:cs="Arial"/>
        </w:rPr>
      </w:pPr>
      <w:r w:rsidRPr="00CD1624">
        <w:rPr>
          <w:rFonts w:cs="Arial"/>
        </w:rPr>
        <w:t>Stamp duty</w:t>
      </w:r>
    </w:p>
    <w:p w14:paraId="58FE8D5A" w14:textId="77777777" w:rsidR="003F3DC1" w:rsidRPr="00CD1624" w:rsidRDefault="003F3DC1" w:rsidP="00CD1624">
      <w:pPr>
        <w:pStyle w:val="Heading2"/>
        <w:numPr>
          <w:ilvl w:val="0"/>
          <w:numId w:val="26"/>
        </w:numPr>
        <w:rPr>
          <w:rFonts w:cs="Arial"/>
        </w:rPr>
      </w:pPr>
      <w:r w:rsidRPr="00CD1624">
        <w:rPr>
          <w:rFonts w:cs="Arial"/>
        </w:rPr>
        <w:t>Land Registry fees</w:t>
      </w:r>
    </w:p>
    <w:p w14:paraId="3881ABA2" w14:textId="77777777" w:rsidR="003F3DC1" w:rsidRPr="00CD1624" w:rsidRDefault="003F3DC1" w:rsidP="00CD1624">
      <w:pPr>
        <w:pStyle w:val="Heading2"/>
        <w:numPr>
          <w:ilvl w:val="0"/>
          <w:numId w:val="26"/>
        </w:numPr>
        <w:rPr>
          <w:rFonts w:cs="Arial"/>
        </w:rPr>
      </w:pPr>
      <w:r w:rsidRPr="00CD1624">
        <w:rPr>
          <w:rFonts w:cs="Arial"/>
        </w:rPr>
        <w:t>Valuation fees</w:t>
      </w:r>
    </w:p>
    <w:p w14:paraId="61A23BF1" w14:textId="77777777" w:rsidR="003F3DC1" w:rsidRPr="00CD1624" w:rsidRDefault="003F3DC1" w:rsidP="00CD1624">
      <w:pPr>
        <w:pStyle w:val="Heading2"/>
        <w:numPr>
          <w:ilvl w:val="0"/>
          <w:numId w:val="26"/>
        </w:numPr>
        <w:rPr>
          <w:rFonts w:cs="Arial"/>
        </w:rPr>
      </w:pPr>
      <w:r w:rsidRPr="00CD1624">
        <w:rPr>
          <w:rFonts w:cs="Arial"/>
        </w:rPr>
        <w:t>Search and survey fees</w:t>
      </w:r>
    </w:p>
    <w:p w14:paraId="27E28171" w14:textId="77777777" w:rsidR="003F3DC1" w:rsidRPr="00CD1624" w:rsidRDefault="003F3DC1" w:rsidP="00CD1624">
      <w:pPr>
        <w:pStyle w:val="Heading2"/>
        <w:numPr>
          <w:ilvl w:val="0"/>
          <w:numId w:val="26"/>
        </w:numPr>
        <w:rPr>
          <w:rFonts w:cs="Arial"/>
        </w:rPr>
      </w:pPr>
      <w:r w:rsidRPr="00CD1624">
        <w:rPr>
          <w:rFonts w:cs="Arial"/>
        </w:rPr>
        <w:t xml:space="preserve">Conveyancing </w:t>
      </w:r>
    </w:p>
    <w:p w14:paraId="378C8D50" w14:textId="77777777" w:rsidR="003F3DC1" w:rsidRPr="00CD1624" w:rsidRDefault="003F3DC1" w:rsidP="00CD1624">
      <w:pPr>
        <w:pStyle w:val="Heading2"/>
        <w:numPr>
          <w:ilvl w:val="0"/>
          <w:numId w:val="26"/>
        </w:numPr>
        <w:rPr>
          <w:rFonts w:cs="Arial"/>
        </w:rPr>
      </w:pPr>
      <w:r w:rsidRPr="00CD1624">
        <w:rPr>
          <w:rFonts w:cs="Arial"/>
        </w:rPr>
        <w:t>Estate agents’ fees or advertising fees</w:t>
      </w:r>
    </w:p>
    <w:p w14:paraId="261617EC" w14:textId="77777777" w:rsidR="003F3DC1" w:rsidRPr="00CD1624" w:rsidRDefault="003F3DC1" w:rsidP="00CD1624">
      <w:pPr>
        <w:pStyle w:val="Heading2"/>
        <w:numPr>
          <w:ilvl w:val="0"/>
          <w:numId w:val="26"/>
        </w:numPr>
        <w:rPr>
          <w:rFonts w:cs="Arial"/>
        </w:rPr>
      </w:pPr>
      <w:r w:rsidRPr="00CD1624">
        <w:rPr>
          <w:rFonts w:cs="Arial"/>
        </w:rPr>
        <w:t>Letting agents’ fees</w:t>
      </w:r>
    </w:p>
    <w:p w14:paraId="38A074C1" w14:textId="7FF0D94A" w:rsidR="003F3DC1" w:rsidRDefault="003F3DC1" w:rsidP="001C0EC8">
      <w:pPr>
        <w:pStyle w:val="Heading2"/>
      </w:pPr>
      <w:r>
        <w:t xml:space="preserve">Reasonably priced temporary accommodation up to a maximum of 6 months when maintaining a property elsewhere. To claim this, </w:t>
      </w:r>
      <w:r w:rsidRPr="00B56A79">
        <w:t xml:space="preserve">proof of mortgage and a copy of the signed tenancy agreement for the temporary accommodation are required, plus copies of bank statements showing payment of both </w:t>
      </w:r>
      <w:r>
        <w:t xml:space="preserve">mortgage and rent </w:t>
      </w:r>
      <w:r w:rsidRPr="00B56A79">
        <w:t>for the period in question.  Payment will only be made where dates clearly coincide and can only be paid retrospectively</w:t>
      </w:r>
      <w:r>
        <w:t>.</w:t>
      </w:r>
    </w:p>
    <w:p w14:paraId="1E071B13" w14:textId="1BB55257" w:rsidR="003F3DC1" w:rsidRPr="002348EB" w:rsidRDefault="003F3DC1" w:rsidP="002348EB">
      <w:pPr>
        <w:pStyle w:val="Heading2"/>
      </w:pPr>
      <w:r>
        <w:t xml:space="preserve">For VISA and NHS costs please refer to the University’s </w:t>
      </w:r>
      <w:r w:rsidR="00542FD9">
        <w:t>UKVI Sponsorship, Endorsement and Financial Support Policy</w:t>
      </w:r>
      <w:r>
        <w:t>.</w:t>
      </w:r>
    </w:p>
    <w:p w14:paraId="11A66439" w14:textId="40210F3F" w:rsidR="003F3DC1" w:rsidRDefault="003F3DC1" w:rsidP="00D01551">
      <w:pPr>
        <w:pStyle w:val="Heading2"/>
      </w:pPr>
      <w:r>
        <w:t xml:space="preserve">The Relocation Policy does </w:t>
      </w:r>
      <w:r w:rsidRPr="009A653B">
        <w:rPr>
          <w:b/>
          <w:bCs/>
        </w:rPr>
        <w:t>not</w:t>
      </w:r>
      <w:r>
        <w:t xml:space="preserve"> cover: </w:t>
      </w:r>
    </w:p>
    <w:p w14:paraId="375F9AA7" w14:textId="77777777" w:rsidR="003F3DC1" w:rsidRPr="0083501B" w:rsidRDefault="003F3DC1" w:rsidP="0083501B">
      <w:pPr>
        <w:pStyle w:val="Heading2"/>
        <w:numPr>
          <w:ilvl w:val="0"/>
          <w:numId w:val="26"/>
        </w:numPr>
        <w:rPr>
          <w:rFonts w:cs="Arial"/>
        </w:rPr>
      </w:pPr>
      <w:r w:rsidRPr="0083501B">
        <w:rPr>
          <w:rFonts w:cs="Arial"/>
        </w:rPr>
        <w:t>Costs of redirecting mail</w:t>
      </w:r>
    </w:p>
    <w:p w14:paraId="69BCB821" w14:textId="77777777" w:rsidR="003F3DC1" w:rsidRPr="0083501B" w:rsidRDefault="003F3DC1" w:rsidP="0083501B">
      <w:pPr>
        <w:pStyle w:val="Heading2"/>
        <w:numPr>
          <w:ilvl w:val="0"/>
          <w:numId w:val="26"/>
        </w:numPr>
        <w:rPr>
          <w:rFonts w:cs="Arial"/>
        </w:rPr>
      </w:pPr>
      <w:r w:rsidRPr="0083501B">
        <w:rPr>
          <w:rFonts w:cs="Arial"/>
        </w:rPr>
        <w:t>Cleaning costs</w:t>
      </w:r>
    </w:p>
    <w:p w14:paraId="07F0C46D" w14:textId="77777777" w:rsidR="003F3DC1" w:rsidRPr="0083501B" w:rsidRDefault="003F3DC1" w:rsidP="0083501B">
      <w:pPr>
        <w:pStyle w:val="Heading2"/>
        <w:numPr>
          <w:ilvl w:val="0"/>
          <w:numId w:val="26"/>
        </w:numPr>
        <w:rPr>
          <w:rFonts w:cs="Arial"/>
        </w:rPr>
      </w:pPr>
      <w:r w:rsidRPr="0083501B">
        <w:rPr>
          <w:rFonts w:cs="Arial"/>
        </w:rPr>
        <w:t xml:space="preserve">Meals and subsistence costs incurred whilst travelling and after arrival </w:t>
      </w:r>
    </w:p>
    <w:p w14:paraId="3AAC356E" w14:textId="77777777" w:rsidR="003F3DC1" w:rsidRPr="0083501B" w:rsidRDefault="003F3DC1" w:rsidP="0083501B">
      <w:pPr>
        <w:pStyle w:val="Heading2"/>
        <w:numPr>
          <w:ilvl w:val="0"/>
          <w:numId w:val="26"/>
        </w:numPr>
        <w:rPr>
          <w:rFonts w:cs="Arial"/>
        </w:rPr>
      </w:pPr>
      <w:r w:rsidRPr="0083501B">
        <w:rPr>
          <w:rFonts w:cs="Arial"/>
        </w:rPr>
        <w:t>Refundable deposits/bonds required for rental properties</w:t>
      </w:r>
    </w:p>
    <w:p w14:paraId="7B8AA0C3" w14:textId="77777777" w:rsidR="003F3DC1" w:rsidRPr="0083501B" w:rsidRDefault="003F3DC1" w:rsidP="0083501B">
      <w:pPr>
        <w:pStyle w:val="Heading2"/>
        <w:numPr>
          <w:ilvl w:val="0"/>
          <w:numId w:val="26"/>
        </w:numPr>
        <w:rPr>
          <w:rFonts w:cs="Arial"/>
        </w:rPr>
      </w:pPr>
      <w:r w:rsidRPr="0083501B">
        <w:rPr>
          <w:rFonts w:cs="Arial"/>
        </w:rPr>
        <w:t>Utility bills</w:t>
      </w:r>
    </w:p>
    <w:p w14:paraId="104656F3" w14:textId="77777777" w:rsidR="003F3DC1" w:rsidRPr="0083501B" w:rsidRDefault="003F3DC1" w:rsidP="0083501B">
      <w:pPr>
        <w:pStyle w:val="Heading2"/>
        <w:numPr>
          <w:ilvl w:val="0"/>
          <w:numId w:val="26"/>
        </w:numPr>
        <w:rPr>
          <w:rFonts w:cs="Arial"/>
        </w:rPr>
      </w:pPr>
      <w:r w:rsidRPr="0083501B">
        <w:rPr>
          <w:rFonts w:cs="Arial"/>
        </w:rPr>
        <w:t xml:space="preserve">Council tax </w:t>
      </w:r>
    </w:p>
    <w:p w14:paraId="7582505C" w14:textId="77777777" w:rsidR="003F3DC1" w:rsidRPr="0083501B" w:rsidRDefault="003F3DC1" w:rsidP="0083501B">
      <w:pPr>
        <w:pStyle w:val="Heading2"/>
        <w:numPr>
          <w:ilvl w:val="0"/>
          <w:numId w:val="26"/>
        </w:numPr>
        <w:rPr>
          <w:rFonts w:cs="Arial"/>
        </w:rPr>
      </w:pPr>
      <w:r w:rsidRPr="0083501B">
        <w:rPr>
          <w:rFonts w:cs="Arial"/>
        </w:rPr>
        <w:t>Household items such as curtains, carpets, white goods, linen, furniture</w:t>
      </w:r>
    </w:p>
    <w:p w14:paraId="2351E072" w14:textId="77777777" w:rsidR="003F3DC1" w:rsidRPr="0083501B" w:rsidRDefault="003F3DC1" w:rsidP="0083501B">
      <w:pPr>
        <w:pStyle w:val="Heading2"/>
        <w:numPr>
          <w:ilvl w:val="0"/>
          <w:numId w:val="26"/>
        </w:numPr>
        <w:rPr>
          <w:rFonts w:cs="Arial"/>
        </w:rPr>
      </w:pPr>
      <w:r w:rsidRPr="0083501B">
        <w:rPr>
          <w:rFonts w:cs="Arial"/>
        </w:rPr>
        <w:t xml:space="preserve">IT equipment such as laptops, printers and Wi-Fi installation </w:t>
      </w:r>
    </w:p>
    <w:p w14:paraId="171C352E" w14:textId="77777777" w:rsidR="003F3DC1" w:rsidRPr="0083501B" w:rsidRDefault="003F3DC1" w:rsidP="0083501B">
      <w:pPr>
        <w:pStyle w:val="Heading2"/>
        <w:numPr>
          <w:ilvl w:val="0"/>
          <w:numId w:val="26"/>
        </w:numPr>
        <w:rPr>
          <w:rFonts w:cs="Arial"/>
        </w:rPr>
      </w:pPr>
      <w:r w:rsidRPr="0083501B">
        <w:rPr>
          <w:rFonts w:cs="Arial"/>
        </w:rPr>
        <w:t>Kennelling and quarantine of domestic pets</w:t>
      </w:r>
    </w:p>
    <w:p w14:paraId="3030EF4B" w14:textId="77777777" w:rsidR="003F3DC1" w:rsidRPr="0083501B" w:rsidRDefault="003F3DC1" w:rsidP="0083501B">
      <w:pPr>
        <w:pStyle w:val="Heading2"/>
        <w:numPr>
          <w:ilvl w:val="0"/>
          <w:numId w:val="26"/>
        </w:numPr>
        <w:rPr>
          <w:rFonts w:cs="Arial"/>
        </w:rPr>
      </w:pPr>
      <w:r w:rsidRPr="0083501B">
        <w:rPr>
          <w:rFonts w:cs="Arial"/>
        </w:rPr>
        <w:t xml:space="preserve">Travel costs for appointments related to visa applications </w:t>
      </w:r>
    </w:p>
    <w:p w14:paraId="6058D1F5" w14:textId="77777777" w:rsidR="003F3DC1" w:rsidRPr="0083501B" w:rsidRDefault="003F3DC1" w:rsidP="0083501B">
      <w:pPr>
        <w:pStyle w:val="Heading2"/>
        <w:numPr>
          <w:ilvl w:val="0"/>
          <w:numId w:val="26"/>
        </w:numPr>
        <w:rPr>
          <w:rFonts w:cs="Arial"/>
        </w:rPr>
      </w:pPr>
      <w:r w:rsidRPr="0083501B">
        <w:rPr>
          <w:rFonts w:cs="Arial"/>
        </w:rPr>
        <w:t>Associated visa costs (such as service fees, English Language test, biometric fee, postage)</w:t>
      </w:r>
    </w:p>
    <w:p w14:paraId="004F655C" w14:textId="5DCAE68C" w:rsidR="003F3DC1" w:rsidRPr="0083501B" w:rsidRDefault="003F3DC1" w:rsidP="0083501B">
      <w:pPr>
        <w:pStyle w:val="Heading2"/>
        <w:numPr>
          <w:ilvl w:val="0"/>
          <w:numId w:val="26"/>
        </w:numPr>
        <w:rPr>
          <w:rFonts w:cs="Arial"/>
        </w:rPr>
      </w:pPr>
      <w:r w:rsidRPr="0083501B">
        <w:rPr>
          <w:rFonts w:cs="Arial"/>
        </w:rPr>
        <w:lastRenderedPageBreak/>
        <w:t>Passport costs</w:t>
      </w:r>
    </w:p>
    <w:p w14:paraId="00F01CBE" w14:textId="77777777" w:rsidR="003F3DC1" w:rsidRDefault="003F3DC1" w:rsidP="00D01551">
      <w:pPr>
        <w:pStyle w:val="Heading2"/>
      </w:pPr>
      <w:r>
        <w:t xml:space="preserve">The above is not an exhaustive list. </w:t>
      </w:r>
      <w:r w:rsidRPr="00507CC3">
        <w:t xml:space="preserve">If there is any doubt whether an expense qualifies under the relocation policy, the employee should contact the Head of Payroll and Pensions </w:t>
      </w:r>
      <w:r w:rsidRPr="00507CC3">
        <w:rPr>
          <w:b/>
          <w:bCs/>
        </w:rPr>
        <w:t>prior to incurring the cost</w:t>
      </w:r>
      <w:r w:rsidRPr="00507CC3">
        <w:t xml:space="preserve">. Please email </w:t>
      </w:r>
      <w:hyperlink r:id="rId19" w:history="1">
        <w:r w:rsidRPr="00507CC3">
          <w:rPr>
            <w:rStyle w:val="Hyperlink"/>
            <w:rFonts w:cs="Arial"/>
            <w:szCs w:val="24"/>
          </w:rPr>
          <w:t>payroll@cardiffmet.ac.uk</w:t>
        </w:r>
      </w:hyperlink>
      <w:r w:rsidRPr="00507CC3">
        <w:t xml:space="preserve"> </w:t>
      </w:r>
    </w:p>
    <w:p w14:paraId="168B5FD9" w14:textId="77777777" w:rsidR="003F3DC1" w:rsidRDefault="003F3DC1" w:rsidP="003F3DC1">
      <w:pPr>
        <w:spacing w:before="240" w:after="0"/>
        <w:ind w:left="431"/>
        <w:outlineLvl w:val="0"/>
        <w:rPr>
          <w:rFonts w:cs="Arial"/>
          <w:szCs w:val="24"/>
        </w:rPr>
      </w:pPr>
    </w:p>
    <w:p w14:paraId="77B3A76F" w14:textId="0989F85A" w:rsidR="001B2792" w:rsidRDefault="001B2792" w:rsidP="001B2792">
      <w:pPr>
        <w:rPr>
          <w:rFonts w:cs="Arial"/>
          <w:szCs w:val="24"/>
        </w:rPr>
      </w:pPr>
      <w:r>
        <w:rPr>
          <w:rFonts w:cs="Arial"/>
          <w:szCs w:val="24"/>
        </w:rPr>
        <w:br w:type="page"/>
      </w:r>
    </w:p>
    <w:p w14:paraId="28797B55" w14:textId="77777777" w:rsidR="001B2792" w:rsidRPr="001B2792" w:rsidRDefault="001B2792" w:rsidP="001B2792">
      <w:pPr>
        <w:spacing w:after="0" w:line="240" w:lineRule="auto"/>
        <w:ind w:left="420" w:hanging="420"/>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415464"/>
          <w:sz w:val="28"/>
          <w:szCs w:val="28"/>
          <w:lang w:eastAsia="en-GB"/>
        </w:rPr>
        <w:lastRenderedPageBreak/>
        <w:t>Annex 2 Relocation Expenses Claim Form </w:t>
      </w:r>
    </w:p>
    <w:tbl>
      <w:tblPr>
        <w:tblW w:w="0"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1"/>
        <w:gridCol w:w="4438"/>
        <w:gridCol w:w="1517"/>
        <w:gridCol w:w="2109"/>
      </w:tblGrid>
      <w:tr w:rsidR="001B2792" w:rsidRPr="001B2792" w14:paraId="76C9B07C" w14:textId="77777777" w:rsidTr="001B2792">
        <w:trPr>
          <w:trHeight w:val="495"/>
        </w:trPr>
        <w:tc>
          <w:tcPr>
            <w:tcW w:w="11190" w:type="dxa"/>
            <w:gridSpan w:val="4"/>
            <w:tcBorders>
              <w:top w:val="single" w:sz="6" w:space="0" w:color="auto"/>
              <w:left w:val="single" w:sz="6" w:space="0" w:color="auto"/>
              <w:bottom w:val="single" w:sz="6" w:space="0" w:color="auto"/>
              <w:right w:val="single" w:sz="6" w:space="0" w:color="auto"/>
            </w:tcBorders>
            <w:shd w:val="clear" w:color="auto" w:fill="D9D9D9"/>
            <w:vAlign w:val="bottom"/>
            <w:hideMark/>
          </w:tcPr>
          <w:p w14:paraId="577D238D" w14:textId="77777777" w:rsidR="001B2792" w:rsidRPr="001B2792" w:rsidRDefault="001B2792" w:rsidP="001B2792">
            <w:pPr>
              <w:spacing w:after="0" w:line="240" w:lineRule="auto"/>
              <w:textAlignment w:val="baseline"/>
              <w:divId w:val="1427920684"/>
              <w:rPr>
                <w:rFonts w:ascii="Times New Roman" w:eastAsia="Times New Roman" w:hAnsi="Times New Roman" w:cs="Times New Roman"/>
                <w:color w:val="auto"/>
                <w:szCs w:val="24"/>
                <w:lang w:eastAsia="en-GB"/>
              </w:rPr>
            </w:pPr>
            <w:r w:rsidRPr="001B2792">
              <w:rPr>
                <w:rFonts w:ascii="Aptos" w:eastAsia="Times New Roman" w:hAnsi="Aptos" w:cs="Times New Roman"/>
                <w:b/>
                <w:bCs/>
                <w:color w:val="000000"/>
                <w:sz w:val="28"/>
                <w:szCs w:val="28"/>
                <w:lang w:eastAsia="en-GB"/>
              </w:rPr>
              <w:t>Personal details </w:t>
            </w:r>
            <w:r w:rsidRPr="001B2792">
              <w:rPr>
                <w:rFonts w:ascii="Aptos" w:eastAsia="Times New Roman" w:hAnsi="Aptos" w:cs="Times New Roman"/>
                <w:color w:val="000000"/>
                <w:sz w:val="28"/>
                <w:szCs w:val="28"/>
                <w:lang w:eastAsia="en-GB"/>
              </w:rPr>
              <w:t> </w:t>
            </w:r>
          </w:p>
        </w:tc>
      </w:tr>
      <w:tr w:rsidR="001B2792" w:rsidRPr="001B2792" w14:paraId="1EA26110" w14:textId="77777777" w:rsidTr="001B2792">
        <w:trPr>
          <w:trHeight w:val="555"/>
        </w:trPr>
        <w:tc>
          <w:tcPr>
            <w:tcW w:w="2115"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32848434"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eastAsia="en-GB"/>
              </w:rPr>
              <w:t>Full Name </w:t>
            </w:r>
          </w:p>
        </w:tc>
        <w:tc>
          <w:tcPr>
            <w:tcW w:w="5100" w:type="dxa"/>
            <w:tcBorders>
              <w:top w:val="single" w:sz="6" w:space="0" w:color="auto"/>
              <w:left w:val="nil"/>
              <w:bottom w:val="single" w:sz="6" w:space="0" w:color="auto"/>
              <w:right w:val="single" w:sz="6" w:space="0" w:color="auto"/>
            </w:tcBorders>
            <w:shd w:val="clear" w:color="auto" w:fill="auto"/>
            <w:vAlign w:val="bottom"/>
            <w:hideMark/>
          </w:tcPr>
          <w:p w14:paraId="20D07BCF"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eastAsia="en-GB"/>
              </w:rPr>
              <w:t> </w:t>
            </w:r>
            <w:r w:rsidRPr="001B2792">
              <w:rPr>
                <w:rFonts w:ascii="Aptos" w:eastAsia="Times New Roman" w:hAnsi="Aptos" w:cs="Times New Roman"/>
                <w:color w:val="000000"/>
                <w:sz w:val="22"/>
                <w:lang w:eastAsia="en-GB"/>
              </w:rPr>
              <w:t> </w:t>
            </w:r>
          </w:p>
        </w:tc>
        <w:tc>
          <w:tcPr>
            <w:tcW w:w="1560" w:type="dxa"/>
            <w:tcBorders>
              <w:top w:val="single" w:sz="6" w:space="0" w:color="auto"/>
              <w:left w:val="nil"/>
              <w:bottom w:val="single" w:sz="6" w:space="0" w:color="auto"/>
              <w:right w:val="single" w:sz="6" w:space="0" w:color="auto"/>
            </w:tcBorders>
            <w:shd w:val="clear" w:color="auto" w:fill="D9D9D9"/>
            <w:vAlign w:val="bottom"/>
            <w:hideMark/>
          </w:tcPr>
          <w:p w14:paraId="792A8186"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eastAsia="en-GB"/>
              </w:rPr>
              <w:t>Emp No </w:t>
            </w:r>
          </w:p>
        </w:tc>
        <w:tc>
          <w:tcPr>
            <w:tcW w:w="2400" w:type="dxa"/>
            <w:tcBorders>
              <w:top w:val="single" w:sz="6" w:space="0" w:color="auto"/>
              <w:left w:val="nil"/>
              <w:bottom w:val="single" w:sz="6" w:space="0" w:color="auto"/>
              <w:right w:val="single" w:sz="6" w:space="0" w:color="auto"/>
            </w:tcBorders>
            <w:shd w:val="clear" w:color="auto" w:fill="auto"/>
            <w:vAlign w:val="bottom"/>
            <w:hideMark/>
          </w:tcPr>
          <w:p w14:paraId="6EB7DCE6"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eastAsia="en-GB"/>
              </w:rPr>
              <w:t> </w:t>
            </w:r>
            <w:r w:rsidRPr="001B2792">
              <w:rPr>
                <w:rFonts w:ascii="Aptos" w:eastAsia="Times New Roman" w:hAnsi="Aptos" w:cs="Times New Roman"/>
                <w:color w:val="000000"/>
                <w:sz w:val="22"/>
                <w:lang w:eastAsia="en-GB"/>
              </w:rPr>
              <w:t> </w:t>
            </w:r>
          </w:p>
        </w:tc>
      </w:tr>
      <w:tr w:rsidR="001B2792" w:rsidRPr="001B2792" w14:paraId="63131636" w14:textId="77777777" w:rsidTr="001B2792">
        <w:trPr>
          <w:trHeight w:val="555"/>
        </w:trPr>
        <w:tc>
          <w:tcPr>
            <w:tcW w:w="2115" w:type="dxa"/>
            <w:tcBorders>
              <w:top w:val="nil"/>
              <w:left w:val="single" w:sz="6" w:space="0" w:color="auto"/>
              <w:bottom w:val="single" w:sz="6" w:space="0" w:color="auto"/>
              <w:right w:val="single" w:sz="6" w:space="0" w:color="auto"/>
            </w:tcBorders>
            <w:shd w:val="clear" w:color="auto" w:fill="D9D9D9"/>
            <w:vAlign w:val="bottom"/>
            <w:hideMark/>
          </w:tcPr>
          <w:p w14:paraId="56725FE1"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eastAsia="en-GB"/>
              </w:rPr>
              <w:t>Position  </w:t>
            </w:r>
          </w:p>
        </w:tc>
        <w:tc>
          <w:tcPr>
            <w:tcW w:w="5100" w:type="dxa"/>
            <w:tcBorders>
              <w:top w:val="nil"/>
              <w:left w:val="nil"/>
              <w:bottom w:val="single" w:sz="6" w:space="0" w:color="auto"/>
              <w:right w:val="single" w:sz="6" w:space="0" w:color="auto"/>
            </w:tcBorders>
            <w:shd w:val="clear" w:color="auto" w:fill="auto"/>
            <w:vAlign w:val="bottom"/>
            <w:hideMark/>
          </w:tcPr>
          <w:p w14:paraId="7CD515FF"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eastAsia="en-GB"/>
              </w:rPr>
              <w:t> </w:t>
            </w:r>
            <w:r w:rsidRPr="001B2792">
              <w:rPr>
                <w:rFonts w:ascii="Aptos" w:eastAsia="Times New Roman" w:hAnsi="Aptos" w:cs="Times New Roman"/>
                <w:color w:val="000000"/>
                <w:sz w:val="22"/>
                <w:lang w:eastAsia="en-GB"/>
              </w:rPr>
              <w:t> </w:t>
            </w:r>
          </w:p>
        </w:tc>
        <w:tc>
          <w:tcPr>
            <w:tcW w:w="1560" w:type="dxa"/>
            <w:tcBorders>
              <w:top w:val="nil"/>
              <w:left w:val="nil"/>
              <w:bottom w:val="single" w:sz="6" w:space="0" w:color="auto"/>
              <w:right w:val="single" w:sz="6" w:space="0" w:color="auto"/>
            </w:tcBorders>
            <w:shd w:val="clear" w:color="auto" w:fill="D9D9D9"/>
            <w:vAlign w:val="bottom"/>
            <w:hideMark/>
          </w:tcPr>
          <w:p w14:paraId="15B9E0FC"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eastAsia="en-GB"/>
              </w:rPr>
              <w:t>School/Unit  </w:t>
            </w:r>
          </w:p>
        </w:tc>
        <w:tc>
          <w:tcPr>
            <w:tcW w:w="2400" w:type="dxa"/>
            <w:tcBorders>
              <w:top w:val="nil"/>
              <w:left w:val="nil"/>
              <w:bottom w:val="single" w:sz="6" w:space="0" w:color="auto"/>
              <w:right w:val="single" w:sz="6" w:space="0" w:color="auto"/>
            </w:tcBorders>
            <w:shd w:val="clear" w:color="auto" w:fill="auto"/>
            <w:vAlign w:val="bottom"/>
            <w:hideMark/>
          </w:tcPr>
          <w:p w14:paraId="16F8D514"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eastAsia="en-GB"/>
              </w:rPr>
              <w:t> </w:t>
            </w:r>
            <w:r w:rsidRPr="001B2792">
              <w:rPr>
                <w:rFonts w:ascii="Aptos" w:eastAsia="Times New Roman" w:hAnsi="Aptos" w:cs="Times New Roman"/>
                <w:color w:val="000000"/>
                <w:sz w:val="22"/>
                <w:lang w:eastAsia="en-GB"/>
              </w:rPr>
              <w:t> </w:t>
            </w:r>
          </w:p>
        </w:tc>
      </w:tr>
      <w:tr w:rsidR="001B2792" w:rsidRPr="001B2792" w14:paraId="73643798" w14:textId="77777777" w:rsidTr="001B2792">
        <w:trPr>
          <w:trHeight w:val="555"/>
        </w:trPr>
        <w:tc>
          <w:tcPr>
            <w:tcW w:w="2115" w:type="dxa"/>
            <w:tcBorders>
              <w:top w:val="nil"/>
              <w:left w:val="single" w:sz="6" w:space="0" w:color="auto"/>
              <w:bottom w:val="single" w:sz="6" w:space="0" w:color="auto"/>
              <w:right w:val="single" w:sz="6" w:space="0" w:color="auto"/>
            </w:tcBorders>
            <w:shd w:val="clear" w:color="auto" w:fill="D9D9D9"/>
            <w:vAlign w:val="bottom"/>
            <w:hideMark/>
          </w:tcPr>
          <w:p w14:paraId="6E480D6D"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eastAsia="en-GB"/>
              </w:rPr>
              <w:t>E-mail Address </w:t>
            </w:r>
          </w:p>
        </w:tc>
        <w:tc>
          <w:tcPr>
            <w:tcW w:w="5100" w:type="dxa"/>
            <w:tcBorders>
              <w:top w:val="nil"/>
              <w:left w:val="nil"/>
              <w:bottom w:val="single" w:sz="6" w:space="0" w:color="auto"/>
              <w:right w:val="single" w:sz="6" w:space="0" w:color="auto"/>
            </w:tcBorders>
            <w:shd w:val="clear" w:color="auto" w:fill="auto"/>
            <w:vAlign w:val="bottom"/>
            <w:hideMark/>
          </w:tcPr>
          <w:p w14:paraId="5D37F972"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eastAsia="en-GB"/>
              </w:rPr>
              <w:t> </w:t>
            </w:r>
            <w:r w:rsidRPr="001B2792">
              <w:rPr>
                <w:rFonts w:ascii="Aptos" w:eastAsia="Times New Roman" w:hAnsi="Aptos" w:cs="Times New Roman"/>
                <w:color w:val="000000"/>
                <w:sz w:val="22"/>
                <w:lang w:eastAsia="en-GB"/>
              </w:rPr>
              <w:t> </w:t>
            </w:r>
          </w:p>
        </w:tc>
        <w:tc>
          <w:tcPr>
            <w:tcW w:w="1560" w:type="dxa"/>
            <w:tcBorders>
              <w:top w:val="nil"/>
              <w:left w:val="nil"/>
              <w:bottom w:val="single" w:sz="6" w:space="0" w:color="auto"/>
              <w:right w:val="single" w:sz="6" w:space="0" w:color="auto"/>
            </w:tcBorders>
            <w:shd w:val="clear" w:color="auto" w:fill="D9D9D9"/>
            <w:vAlign w:val="bottom"/>
            <w:hideMark/>
          </w:tcPr>
          <w:p w14:paraId="47696527"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eastAsia="en-GB"/>
              </w:rPr>
              <w:t>Employment Start Date  </w:t>
            </w:r>
          </w:p>
        </w:tc>
        <w:tc>
          <w:tcPr>
            <w:tcW w:w="2400" w:type="dxa"/>
            <w:tcBorders>
              <w:top w:val="nil"/>
              <w:left w:val="nil"/>
              <w:bottom w:val="single" w:sz="6" w:space="0" w:color="auto"/>
              <w:right w:val="single" w:sz="6" w:space="0" w:color="auto"/>
            </w:tcBorders>
            <w:shd w:val="clear" w:color="auto" w:fill="auto"/>
            <w:vAlign w:val="bottom"/>
            <w:hideMark/>
          </w:tcPr>
          <w:p w14:paraId="315A61BC"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eastAsia="en-GB"/>
              </w:rPr>
              <w:t> </w:t>
            </w:r>
            <w:r w:rsidRPr="001B2792">
              <w:rPr>
                <w:rFonts w:ascii="Aptos" w:eastAsia="Times New Roman" w:hAnsi="Aptos" w:cs="Times New Roman"/>
                <w:color w:val="000000"/>
                <w:sz w:val="22"/>
                <w:lang w:eastAsia="en-GB"/>
              </w:rPr>
              <w:t> </w:t>
            </w:r>
          </w:p>
        </w:tc>
      </w:tr>
      <w:tr w:rsidR="001B2792" w:rsidRPr="001B2792" w14:paraId="6986A40E" w14:textId="77777777" w:rsidTr="001B2792">
        <w:trPr>
          <w:trHeight w:val="675"/>
        </w:trPr>
        <w:tc>
          <w:tcPr>
            <w:tcW w:w="2115" w:type="dxa"/>
            <w:tcBorders>
              <w:top w:val="nil"/>
              <w:left w:val="single" w:sz="6" w:space="0" w:color="auto"/>
              <w:bottom w:val="single" w:sz="6" w:space="0" w:color="auto"/>
              <w:right w:val="single" w:sz="6" w:space="0" w:color="auto"/>
            </w:tcBorders>
            <w:shd w:val="clear" w:color="auto" w:fill="D9D9D9"/>
            <w:vAlign w:val="bottom"/>
            <w:hideMark/>
          </w:tcPr>
          <w:p w14:paraId="66B5BB4D"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eastAsia="en-GB"/>
              </w:rPr>
              <w:t>Former Address </w:t>
            </w:r>
          </w:p>
        </w:tc>
        <w:tc>
          <w:tcPr>
            <w:tcW w:w="9060" w:type="dxa"/>
            <w:gridSpan w:val="3"/>
            <w:tcBorders>
              <w:top w:val="single" w:sz="6" w:space="0" w:color="auto"/>
              <w:left w:val="nil"/>
              <w:bottom w:val="single" w:sz="6" w:space="0" w:color="auto"/>
              <w:right w:val="single" w:sz="6" w:space="0" w:color="auto"/>
            </w:tcBorders>
            <w:shd w:val="clear" w:color="auto" w:fill="auto"/>
            <w:vAlign w:val="bottom"/>
            <w:hideMark/>
          </w:tcPr>
          <w:p w14:paraId="64DF6731"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eastAsia="en-GB"/>
              </w:rPr>
              <w:t> </w:t>
            </w:r>
            <w:r w:rsidRPr="001B2792">
              <w:rPr>
                <w:rFonts w:ascii="Aptos" w:eastAsia="Times New Roman" w:hAnsi="Aptos" w:cs="Times New Roman"/>
                <w:color w:val="000000"/>
                <w:sz w:val="22"/>
                <w:lang w:eastAsia="en-GB"/>
              </w:rPr>
              <w:t> </w:t>
            </w:r>
          </w:p>
        </w:tc>
      </w:tr>
      <w:tr w:rsidR="001B2792" w:rsidRPr="001B2792" w14:paraId="21DD6EE1" w14:textId="77777777" w:rsidTr="001B2792">
        <w:trPr>
          <w:trHeight w:val="675"/>
        </w:trPr>
        <w:tc>
          <w:tcPr>
            <w:tcW w:w="2115" w:type="dxa"/>
            <w:tcBorders>
              <w:top w:val="nil"/>
              <w:left w:val="single" w:sz="6" w:space="0" w:color="auto"/>
              <w:bottom w:val="single" w:sz="6" w:space="0" w:color="auto"/>
              <w:right w:val="single" w:sz="6" w:space="0" w:color="auto"/>
            </w:tcBorders>
            <w:shd w:val="clear" w:color="auto" w:fill="D9D9D9"/>
            <w:vAlign w:val="bottom"/>
            <w:hideMark/>
          </w:tcPr>
          <w:p w14:paraId="6D50A472"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eastAsia="en-GB"/>
              </w:rPr>
              <w:t>New Address </w:t>
            </w:r>
          </w:p>
        </w:tc>
        <w:tc>
          <w:tcPr>
            <w:tcW w:w="9060" w:type="dxa"/>
            <w:gridSpan w:val="3"/>
            <w:tcBorders>
              <w:top w:val="single" w:sz="6" w:space="0" w:color="auto"/>
              <w:left w:val="nil"/>
              <w:bottom w:val="single" w:sz="6" w:space="0" w:color="auto"/>
              <w:right w:val="single" w:sz="6" w:space="0" w:color="auto"/>
            </w:tcBorders>
            <w:shd w:val="clear" w:color="auto" w:fill="auto"/>
            <w:vAlign w:val="bottom"/>
            <w:hideMark/>
          </w:tcPr>
          <w:p w14:paraId="49C190D1"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eastAsia="en-GB"/>
              </w:rPr>
              <w:t> </w:t>
            </w:r>
            <w:r w:rsidRPr="001B2792">
              <w:rPr>
                <w:rFonts w:ascii="Aptos" w:eastAsia="Times New Roman" w:hAnsi="Aptos" w:cs="Times New Roman"/>
                <w:color w:val="000000"/>
                <w:sz w:val="22"/>
                <w:lang w:eastAsia="en-GB"/>
              </w:rPr>
              <w:t> </w:t>
            </w:r>
          </w:p>
        </w:tc>
      </w:tr>
    </w:tbl>
    <w:p w14:paraId="46F3761E" w14:textId="77777777" w:rsidR="001B2792" w:rsidRPr="001B2792" w:rsidRDefault="001B2792" w:rsidP="001B2792">
      <w:pPr>
        <w:spacing w:after="0" w:line="240" w:lineRule="auto"/>
        <w:ind w:left="-1005"/>
        <w:textAlignment w:val="baseline"/>
        <w:rPr>
          <w:rFonts w:ascii="Segoe UI" w:eastAsia="Times New Roman" w:hAnsi="Segoe UI" w:cs="Segoe UI"/>
          <w:color w:val="auto"/>
          <w:sz w:val="18"/>
          <w:szCs w:val="18"/>
          <w:lang w:eastAsia="en-GB"/>
        </w:rPr>
      </w:pPr>
      <w:r w:rsidRPr="001B2792">
        <w:rPr>
          <w:rFonts w:ascii="Myriad Pro" w:eastAsia="Times New Roman" w:hAnsi="Myriad Pro" w:cs="Segoe UI"/>
          <w:color w:val="222A35"/>
          <w:sz w:val="20"/>
          <w:szCs w:val="20"/>
          <w:lang w:eastAsia="en-GB"/>
        </w:rPr>
        <w:t> </w:t>
      </w:r>
    </w:p>
    <w:p w14:paraId="05074893" w14:textId="77777777" w:rsidR="001B2792" w:rsidRPr="001B2792" w:rsidRDefault="001B2792" w:rsidP="001B2792">
      <w:pPr>
        <w:spacing w:after="0" w:line="240" w:lineRule="auto"/>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222A35"/>
          <w:sz w:val="22"/>
          <w:lang w:eastAsia="en-GB"/>
        </w:rPr>
        <w:t> </w:t>
      </w:r>
    </w:p>
    <w:p w14:paraId="0377E38E" w14:textId="77777777" w:rsidR="001B2792" w:rsidRPr="001B2792" w:rsidRDefault="001B2792" w:rsidP="001B2792">
      <w:pPr>
        <w:spacing w:after="0" w:line="240" w:lineRule="auto"/>
        <w:ind w:left="-1005"/>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222A35"/>
          <w:sz w:val="22"/>
          <w:lang w:eastAsia="en-GB"/>
        </w:rPr>
        <w:t> </w:t>
      </w:r>
    </w:p>
    <w:tbl>
      <w:tblPr>
        <w:tblW w:w="0"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7"/>
        <w:gridCol w:w="5749"/>
        <w:gridCol w:w="1489"/>
      </w:tblGrid>
      <w:tr w:rsidR="001B2792" w:rsidRPr="001B2792" w14:paraId="1CCE858D" w14:textId="77777777" w:rsidTr="001B2792">
        <w:trPr>
          <w:trHeight w:val="495"/>
        </w:trPr>
        <w:tc>
          <w:tcPr>
            <w:tcW w:w="11190" w:type="dxa"/>
            <w:gridSpan w:val="3"/>
            <w:tcBorders>
              <w:top w:val="single" w:sz="6" w:space="0" w:color="auto"/>
              <w:left w:val="single" w:sz="6" w:space="0" w:color="auto"/>
              <w:bottom w:val="single" w:sz="6" w:space="0" w:color="auto"/>
              <w:right w:val="single" w:sz="6" w:space="0" w:color="auto"/>
            </w:tcBorders>
            <w:shd w:val="clear" w:color="auto" w:fill="D9D9D9"/>
            <w:vAlign w:val="bottom"/>
            <w:hideMark/>
          </w:tcPr>
          <w:p w14:paraId="2961823F" w14:textId="77777777" w:rsidR="001B2792" w:rsidRPr="001B2792" w:rsidRDefault="001B2792" w:rsidP="001B2792">
            <w:pPr>
              <w:spacing w:after="0" w:line="240" w:lineRule="auto"/>
              <w:textAlignment w:val="baseline"/>
              <w:divId w:val="730620544"/>
              <w:rPr>
                <w:rFonts w:ascii="Times New Roman" w:eastAsia="Times New Roman" w:hAnsi="Times New Roman" w:cs="Times New Roman"/>
                <w:color w:val="auto"/>
                <w:szCs w:val="24"/>
                <w:lang w:eastAsia="en-GB"/>
              </w:rPr>
            </w:pPr>
            <w:r w:rsidRPr="001B2792">
              <w:rPr>
                <w:rFonts w:ascii="Aptos" w:eastAsia="Times New Roman" w:hAnsi="Aptos" w:cs="Times New Roman"/>
                <w:b/>
                <w:bCs/>
                <w:color w:val="000000"/>
                <w:sz w:val="28"/>
                <w:szCs w:val="28"/>
                <w:lang w:eastAsia="en-GB"/>
              </w:rPr>
              <w:t>Claim details </w:t>
            </w:r>
            <w:r w:rsidRPr="001B2792">
              <w:rPr>
                <w:rFonts w:ascii="Aptos" w:eastAsia="Times New Roman" w:hAnsi="Aptos" w:cs="Times New Roman"/>
                <w:color w:val="000000"/>
                <w:sz w:val="28"/>
                <w:szCs w:val="28"/>
                <w:lang w:eastAsia="en-GB"/>
              </w:rPr>
              <w:t> </w:t>
            </w:r>
          </w:p>
        </w:tc>
      </w:tr>
      <w:tr w:rsidR="001B2792" w:rsidRPr="001B2792" w14:paraId="697EC19B" w14:textId="77777777" w:rsidTr="001B2792">
        <w:trPr>
          <w:trHeight w:val="495"/>
        </w:trPr>
        <w:tc>
          <w:tcPr>
            <w:tcW w:w="2970"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39E643D2" w14:textId="77777777" w:rsidR="001B2792" w:rsidRPr="001B2792" w:rsidRDefault="001B2792" w:rsidP="001B2792">
            <w:pPr>
              <w:spacing w:after="0" w:line="240" w:lineRule="auto"/>
              <w:jc w:val="both"/>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b/>
                <w:bCs/>
                <w:color w:val="000000"/>
                <w:sz w:val="22"/>
                <w:lang w:eastAsia="en-GB"/>
              </w:rPr>
              <w:t>Expenses incurred </w:t>
            </w:r>
            <w:r w:rsidRPr="001B2792">
              <w:rPr>
                <w:rFonts w:ascii="Aptos" w:eastAsia="Times New Roman" w:hAnsi="Aptos" w:cs="Times New Roman"/>
                <w:color w:val="000000"/>
                <w:sz w:val="22"/>
                <w:lang w:eastAsia="en-GB"/>
              </w:rPr>
              <w:t> </w:t>
            </w:r>
          </w:p>
        </w:tc>
        <w:tc>
          <w:tcPr>
            <w:tcW w:w="6510" w:type="dxa"/>
            <w:tcBorders>
              <w:top w:val="single" w:sz="6" w:space="0" w:color="auto"/>
              <w:left w:val="nil"/>
              <w:bottom w:val="single" w:sz="6" w:space="0" w:color="auto"/>
              <w:right w:val="single" w:sz="6" w:space="0" w:color="auto"/>
            </w:tcBorders>
            <w:shd w:val="clear" w:color="auto" w:fill="D9D9D9"/>
            <w:vAlign w:val="bottom"/>
            <w:hideMark/>
          </w:tcPr>
          <w:p w14:paraId="51C4A1B6"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b/>
                <w:bCs/>
                <w:color w:val="000000"/>
                <w:sz w:val="22"/>
                <w:lang w:eastAsia="en-GB"/>
              </w:rPr>
              <w:t>Description</w:t>
            </w:r>
            <w:r w:rsidRPr="001B2792">
              <w:rPr>
                <w:rFonts w:ascii="Aptos" w:eastAsia="Times New Roman" w:hAnsi="Aptos" w:cs="Times New Roman"/>
                <w:color w:val="000000"/>
                <w:sz w:val="22"/>
                <w:lang w:eastAsia="en-GB"/>
              </w:rPr>
              <w:t> </w:t>
            </w:r>
          </w:p>
        </w:tc>
        <w:tc>
          <w:tcPr>
            <w:tcW w:w="1695" w:type="dxa"/>
            <w:tcBorders>
              <w:top w:val="single" w:sz="6" w:space="0" w:color="auto"/>
              <w:left w:val="nil"/>
              <w:bottom w:val="single" w:sz="6" w:space="0" w:color="auto"/>
              <w:right w:val="single" w:sz="6" w:space="0" w:color="auto"/>
            </w:tcBorders>
            <w:shd w:val="clear" w:color="auto" w:fill="D9D9D9"/>
            <w:vAlign w:val="bottom"/>
            <w:hideMark/>
          </w:tcPr>
          <w:p w14:paraId="7F7C9576" w14:textId="77777777" w:rsidR="001B2792" w:rsidRPr="001B2792" w:rsidRDefault="001B2792" w:rsidP="001B2792">
            <w:pPr>
              <w:spacing w:after="0" w:line="240" w:lineRule="auto"/>
              <w:jc w:val="center"/>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b/>
                <w:bCs/>
                <w:color w:val="000000"/>
                <w:sz w:val="22"/>
                <w:lang w:eastAsia="en-GB"/>
              </w:rPr>
              <w:t>£</w:t>
            </w:r>
            <w:r w:rsidRPr="001B2792">
              <w:rPr>
                <w:rFonts w:ascii="Aptos" w:eastAsia="Times New Roman" w:hAnsi="Aptos" w:cs="Times New Roman"/>
                <w:color w:val="000000"/>
                <w:sz w:val="22"/>
                <w:lang w:eastAsia="en-GB"/>
              </w:rPr>
              <w:t> </w:t>
            </w:r>
          </w:p>
        </w:tc>
      </w:tr>
      <w:tr w:rsidR="001B2792" w:rsidRPr="001B2792" w14:paraId="0929AD96" w14:textId="77777777" w:rsidTr="001B2792">
        <w:trPr>
          <w:trHeight w:val="615"/>
        </w:trPr>
        <w:tc>
          <w:tcPr>
            <w:tcW w:w="2970" w:type="dxa"/>
            <w:tcBorders>
              <w:top w:val="nil"/>
              <w:left w:val="single" w:sz="6" w:space="0" w:color="auto"/>
              <w:bottom w:val="single" w:sz="6" w:space="0" w:color="auto"/>
              <w:right w:val="single" w:sz="6" w:space="0" w:color="auto"/>
            </w:tcBorders>
            <w:shd w:val="clear" w:color="auto" w:fill="auto"/>
            <w:vAlign w:val="bottom"/>
            <w:hideMark/>
          </w:tcPr>
          <w:p w14:paraId="3ED64D52"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val="en-US" w:eastAsia="en-GB"/>
              </w:rPr>
              <w:t>Hotel for preliminary visit </w:t>
            </w:r>
            <w:r w:rsidRPr="001B2792">
              <w:rPr>
                <w:rFonts w:ascii="Aptos" w:eastAsia="Times New Roman" w:hAnsi="Aptos" w:cs="Times New Roman"/>
                <w:color w:val="000000"/>
                <w:sz w:val="22"/>
                <w:lang w:eastAsia="en-GB"/>
              </w:rPr>
              <w:t> </w:t>
            </w:r>
          </w:p>
        </w:tc>
        <w:tc>
          <w:tcPr>
            <w:tcW w:w="6510" w:type="dxa"/>
            <w:tcBorders>
              <w:top w:val="nil"/>
              <w:left w:val="nil"/>
              <w:bottom w:val="single" w:sz="6" w:space="0" w:color="auto"/>
              <w:right w:val="single" w:sz="6" w:space="0" w:color="auto"/>
            </w:tcBorders>
            <w:shd w:val="clear" w:color="auto" w:fill="auto"/>
            <w:vAlign w:val="bottom"/>
            <w:hideMark/>
          </w:tcPr>
          <w:p w14:paraId="3E611FDA"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val="en-US" w:eastAsia="en-GB"/>
              </w:rPr>
              <w:t> </w:t>
            </w:r>
            <w:r w:rsidRPr="001B2792">
              <w:rPr>
                <w:rFonts w:ascii="Aptos" w:eastAsia="Times New Roman" w:hAnsi="Aptos" w:cs="Times New Roman"/>
                <w:color w:val="000000"/>
                <w:sz w:val="22"/>
                <w:lang w:eastAsia="en-GB"/>
              </w:rPr>
              <w:t> </w:t>
            </w:r>
          </w:p>
        </w:tc>
        <w:tc>
          <w:tcPr>
            <w:tcW w:w="1695" w:type="dxa"/>
            <w:tcBorders>
              <w:top w:val="nil"/>
              <w:left w:val="nil"/>
              <w:bottom w:val="single" w:sz="6" w:space="0" w:color="auto"/>
              <w:right w:val="single" w:sz="6" w:space="0" w:color="auto"/>
            </w:tcBorders>
            <w:shd w:val="clear" w:color="auto" w:fill="auto"/>
            <w:vAlign w:val="bottom"/>
            <w:hideMark/>
          </w:tcPr>
          <w:p w14:paraId="2F0FB89A"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val="en-US" w:eastAsia="en-GB"/>
              </w:rPr>
              <w:t> </w:t>
            </w:r>
            <w:r w:rsidRPr="001B2792">
              <w:rPr>
                <w:rFonts w:ascii="Aptos" w:eastAsia="Times New Roman" w:hAnsi="Aptos" w:cs="Times New Roman"/>
                <w:color w:val="000000"/>
                <w:sz w:val="22"/>
                <w:lang w:eastAsia="en-GB"/>
              </w:rPr>
              <w:t> </w:t>
            </w:r>
          </w:p>
        </w:tc>
      </w:tr>
      <w:tr w:rsidR="001B2792" w:rsidRPr="001B2792" w14:paraId="02B2EA9D" w14:textId="77777777" w:rsidTr="001B2792">
        <w:trPr>
          <w:trHeight w:val="615"/>
        </w:trPr>
        <w:tc>
          <w:tcPr>
            <w:tcW w:w="2970" w:type="dxa"/>
            <w:tcBorders>
              <w:top w:val="nil"/>
              <w:left w:val="single" w:sz="6" w:space="0" w:color="auto"/>
              <w:bottom w:val="single" w:sz="6" w:space="0" w:color="auto"/>
              <w:right w:val="single" w:sz="6" w:space="0" w:color="auto"/>
            </w:tcBorders>
            <w:shd w:val="clear" w:color="auto" w:fill="auto"/>
            <w:vAlign w:val="bottom"/>
            <w:hideMark/>
          </w:tcPr>
          <w:p w14:paraId="1EF50B77"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val="en-US" w:eastAsia="en-GB"/>
              </w:rPr>
              <w:t>Personal travel</w:t>
            </w:r>
            <w:r w:rsidRPr="001B2792">
              <w:rPr>
                <w:rFonts w:ascii="Aptos" w:eastAsia="Times New Roman" w:hAnsi="Aptos" w:cs="Times New Roman"/>
                <w:color w:val="000000"/>
                <w:sz w:val="22"/>
                <w:lang w:eastAsia="en-GB"/>
              </w:rPr>
              <w:t> </w:t>
            </w:r>
          </w:p>
        </w:tc>
        <w:tc>
          <w:tcPr>
            <w:tcW w:w="6510" w:type="dxa"/>
            <w:tcBorders>
              <w:top w:val="nil"/>
              <w:left w:val="nil"/>
              <w:bottom w:val="single" w:sz="6" w:space="0" w:color="auto"/>
              <w:right w:val="single" w:sz="6" w:space="0" w:color="auto"/>
            </w:tcBorders>
            <w:shd w:val="clear" w:color="auto" w:fill="auto"/>
            <w:vAlign w:val="bottom"/>
            <w:hideMark/>
          </w:tcPr>
          <w:p w14:paraId="39C5A202"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val="en-US" w:eastAsia="en-GB"/>
              </w:rPr>
              <w:t> </w:t>
            </w:r>
            <w:r w:rsidRPr="001B2792">
              <w:rPr>
                <w:rFonts w:ascii="Aptos" w:eastAsia="Times New Roman" w:hAnsi="Aptos" w:cs="Times New Roman"/>
                <w:color w:val="000000"/>
                <w:sz w:val="22"/>
                <w:lang w:eastAsia="en-GB"/>
              </w:rPr>
              <w:t> </w:t>
            </w:r>
          </w:p>
        </w:tc>
        <w:tc>
          <w:tcPr>
            <w:tcW w:w="1695" w:type="dxa"/>
            <w:tcBorders>
              <w:top w:val="nil"/>
              <w:left w:val="nil"/>
              <w:bottom w:val="single" w:sz="6" w:space="0" w:color="auto"/>
              <w:right w:val="single" w:sz="6" w:space="0" w:color="auto"/>
            </w:tcBorders>
            <w:shd w:val="clear" w:color="auto" w:fill="auto"/>
            <w:vAlign w:val="bottom"/>
            <w:hideMark/>
          </w:tcPr>
          <w:p w14:paraId="6DE4EF08"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val="en-US" w:eastAsia="en-GB"/>
              </w:rPr>
              <w:t> </w:t>
            </w:r>
            <w:r w:rsidRPr="001B2792">
              <w:rPr>
                <w:rFonts w:ascii="Aptos" w:eastAsia="Times New Roman" w:hAnsi="Aptos" w:cs="Times New Roman"/>
                <w:color w:val="000000"/>
                <w:sz w:val="22"/>
                <w:lang w:eastAsia="en-GB"/>
              </w:rPr>
              <w:t> </w:t>
            </w:r>
          </w:p>
        </w:tc>
      </w:tr>
      <w:tr w:rsidR="001B2792" w:rsidRPr="001B2792" w14:paraId="504F476F" w14:textId="77777777" w:rsidTr="001B2792">
        <w:trPr>
          <w:trHeight w:val="615"/>
        </w:trPr>
        <w:tc>
          <w:tcPr>
            <w:tcW w:w="2970" w:type="dxa"/>
            <w:tcBorders>
              <w:top w:val="nil"/>
              <w:left w:val="single" w:sz="6" w:space="0" w:color="auto"/>
              <w:bottom w:val="single" w:sz="6" w:space="0" w:color="auto"/>
              <w:right w:val="single" w:sz="6" w:space="0" w:color="auto"/>
            </w:tcBorders>
            <w:shd w:val="clear" w:color="auto" w:fill="auto"/>
            <w:vAlign w:val="bottom"/>
            <w:hideMark/>
          </w:tcPr>
          <w:p w14:paraId="24DF414F"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val="en-US" w:eastAsia="en-GB"/>
              </w:rPr>
              <w:t>Removals &amp; transportation of furniture</w:t>
            </w:r>
            <w:r w:rsidRPr="001B2792">
              <w:rPr>
                <w:rFonts w:ascii="Aptos" w:eastAsia="Times New Roman" w:hAnsi="Aptos" w:cs="Times New Roman"/>
                <w:color w:val="000000"/>
                <w:sz w:val="22"/>
                <w:lang w:eastAsia="en-GB"/>
              </w:rPr>
              <w:t> </w:t>
            </w:r>
          </w:p>
        </w:tc>
        <w:tc>
          <w:tcPr>
            <w:tcW w:w="6510" w:type="dxa"/>
            <w:tcBorders>
              <w:top w:val="nil"/>
              <w:left w:val="nil"/>
              <w:bottom w:val="single" w:sz="6" w:space="0" w:color="auto"/>
              <w:right w:val="single" w:sz="6" w:space="0" w:color="auto"/>
            </w:tcBorders>
            <w:shd w:val="clear" w:color="auto" w:fill="auto"/>
            <w:vAlign w:val="bottom"/>
            <w:hideMark/>
          </w:tcPr>
          <w:p w14:paraId="23D936FD"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val="en-US" w:eastAsia="en-GB"/>
              </w:rPr>
              <w:t> </w:t>
            </w:r>
            <w:r w:rsidRPr="001B2792">
              <w:rPr>
                <w:rFonts w:ascii="Aptos" w:eastAsia="Times New Roman" w:hAnsi="Aptos" w:cs="Times New Roman"/>
                <w:color w:val="000000"/>
                <w:sz w:val="22"/>
                <w:lang w:eastAsia="en-GB"/>
              </w:rPr>
              <w:t> </w:t>
            </w:r>
          </w:p>
        </w:tc>
        <w:tc>
          <w:tcPr>
            <w:tcW w:w="1695" w:type="dxa"/>
            <w:tcBorders>
              <w:top w:val="nil"/>
              <w:left w:val="nil"/>
              <w:bottom w:val="single" w:sz="6" w:space="0" w:color="auto"/>
              <w:right w:val="single" w:sz="6" w:space="0" w:color="auto"/>
            </w:tcBorders>
            <w:shd w:val="clear" w:color="auto" w:fill="auto"/>
            <w:vAlign w:val="bottom"/>
            <w:hideMark/>
          </w:tcPr>
          <w:p w14:paraId="5F1F56BC"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val="en-US" w:eastAsia="en-GB"/>
              </w:rPr>
              <w:t> </w:t>
            </w:r>
            <w:r w:rsidRPr="001B2792">
              <w:rPr>
                <w:rFonts w:ascii="Aptos" w:eastAsia="Times New Roman" w:hAnsi="Aptos" w:cs="Times New Roman"/>
                <w:color w:val="000000"/>
                <w:sz w:val="22"/>
                <w:lang w:eastAsia="en-GB"/>
              </w:rPr>
              <w:t> </w:t>
            </w:r>
          </w:p>
        </w:tc>
      </w:tr>
      <w:tr w:rsidR="001B2792" w:rsidRPr="001B2792" w14:paraId="16FA0883" w14:textId="77777777" w:rsidTr="001B2792">
        <w:trPr>
          <w:trHeight w:val="615"/>
        </w:trPr>
        <w:tc>
          <w:tcPr>
            <w:tcW w:w="2970" w:type="dxa"/>
            <w:tcBorders>
              <w:top w:val="nil"/>
              <w:left w:val="single" w:sz="6" w:space="0" w:color="auto"/>
              <w:bottom w:val="single" w:sz="6" w:space="0" w:color="auto"/>
              <w:right w:val="single" w:sz="6" w:space="0" w:color="auto"/>
            </w:tcBorders>
            <w:shd w:val="clear" w:color="auto" w:fill="auto"/>
            <w:vAlign w:val="bottom"/>
            <w:hideMark/>
          </w:tcPr>
          <w:p w14:paraId="0C743EB3"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val="en-US" w:eastAsia="en-GB"/>
              </w:rPr>
              <w:t>Professional purchase/sale expenses</w:t>
            </w:r>
            <w:r w:rsidRPr="001B2792">
              <w:rPr>
                <w:rFonts w:ascii="Aptos" w:eastAsia="Times New Roman" w:hAnsi="Aptos" w:cs="Times New Roman"/>
                <w:color w:val="000000"/>
                <w:sz w:val="22"/>
                <w:lang w:eastAsia="en-GB"/>
              </w:rPr>
              <w:t> </w:t>
            </w:r>
          </w:p>
        </w:tc>
        <w:tc>
          <w:tcPr>
            <w:tcW w:w="6510" w:type="dxa"/>
            <w:tcBorders>
              <w:top w:val="nil"/>
              <w:left w:val="nil"/>
              <w:bottom w:val="single" w:sz="6" w:space="0" w:color="auto"/>
              <w:right w:val="single" w:sz="6" w:space="0" w:color="auto"/>
            </w:tcBorders>
            <w:shd w:val="clear" w:color="auto" w:fill="auto"/>
            <w:vAlign w:val="bottom"/>
            <w:hideMark/>
          </w:tcPr>
          <w:p w14:paraId="6296168B"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val="en-US" w:eastAsia="en-GB"/>
              </w:rPr>
              <w:t> </w:t>
            </w:r>
            <w:r w:rsidRPr="001B2792">
              <w:rPr>
                <w:rFonts w:ascii="Aptos" w:eastAsia="Times New Roman" w:hAnsi="Aptos" w:cs="Times New Roman"/>
                <w:color w:val="000000"/>
                <w:sz w:val="22"/>
                <w:lang w:eastAsia="en-GB"/>
              </w:rPr>
              <w:t> </w:t>
            </w:r>
          </w:p>
        </w:tc>
        <w:tc>
          <w:tcPr>
            <w:tcW w:w="1695" w:type="dxa"/>
            <w:tcBorders>
              <w:top w:val="nil"/>
              <w:left w:val="nil"/>
              <w:bottom w:val="single" w:sz="6" w:space="0" w:color="auto"/>
              <w:right w:val="single" w:sz="6" w:space="0" w:color="auto"/>
            </w:tcBorders>
            <w:shd w:val="clear" w:color="auto" w:fill="auto"/>
            <w:vAlign w:val="bottom"/>
            <w:hideMark/>
          </w:tcPr>
          <w:p w14:paraId="32EBB135"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val="en-US" w:eastAsia="en-GB"/>
              </w:rPr>
              <w:t> </w:t>
            </w:r>
            <w:r w:rsidRPr="001B2792">
              <w:rPr>
                <w:rFonts w:ascii="Aptos" w:eastAsia="Times New Roman" w:hAnsi="Aptos" w:cs="Times New Roman"/>
                <w:color w:val="000000"/>
                <w:sz w:val="22"/>
                <w:lang w:eastAsia="en-GB"/>
              </w:rPr>
              <w:t> </w:t>
            </w:r>
          </w:p>
        </w:tc>
      </w:tr>
      <w:tr w:rsidR="001B2792" w:rsidRPr="001B2792" w14:paraId="6E84A58A" w14:textId="77777777" w:rsidTr="001B2792">
        <w:trPr>
          <w:trHeight w:val="615"/>
        </w:trPr>
        <w:tc>
          <w:tcPr>
            <w:tcW w:w="2970" w:type="dxa"/>
            <w:tcBorders>
              <w:top w:val="nil"/>
              <w:left w:val="single" w:sz="6" w:space="0" w:color="auto"/>
              <w:bottom w:val="single" w:sz="6" w:space="0" w:color="auto"/>
              <w:right w:val="single" w:sz="6" w:space="0" w:color="auto"/>
            </w:tcBorders>
            <w:shd w:val="clear" w:color="auto" w:fill="auto"/>
            <w:vAlign w:val="bottom"/>
            <w:hideMark/>
          </w:tcPr>
          <w:p w14:paraId="11253D4B"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val="en-US" w:eastAsia="en-GB"/>
              </w:rPr>
              <w:t>Temporary accommodation</w:t>
            </w:r>
            <w:r w:rsidRPr="001B2792">
              <w:rPr>
                <w:rFonts w:ascii="Aptos" w:eastAsia="Times New Roman" w:hAnsi="Aptos" w:cs="Times New Roman"/>
                <w:color w:val="000000"/>
                <w:sz w:val="22"/>
                <w:lang w:eastAsia="en-GB"/>
              </w:rPr>
              <w:t> </w:t>
            </w:r>
          </w:p>
        </w:tc>
        <w:tc>
          <w:tcPr>
            <w:tcW w:w="6510" w:type="dxa"/>
            <w:tcBorders>
              <w:top w:val="nil"/>
              <w:left w:val="nil"/>
              <w:bottom w:val="single" w:sz="6" w:space="0" w:color="auto"/>
              <w:right w:val="single" w:sz="6" w:space="0" w:color="auto"/>
            </w:tcBorders>
            <w:shd w:val="clear" w:color="auto" w:fill="auto"/>
            <w:vAlign w:val="bottom"/>
            <w:hideMark/>
          </w:tcPr>
          <w:p w14:paraId="5CAD2675"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val="en-US" w:eastAsia="en-GB"/>
              </w:rPr>
              <w:t> </w:t>
            </w:r>
            <w:r w:rsidRPr="001B2792">
              <w:rPr>
                <w:rFonts w:ascii="Aptos" w:eastAsia="Times New Roman" w:hAnsi="Aptos" w:cs="Times New Roman"/>
                <w:color w:val="000000"/>
                <w:sz w:val="22"/>
                <w:lang w:eastAsia="en-GB"/>
              </w:rPr>
              <w:t> </w:t>
            </w:r>
          </w:p>
        </w:tc>
        <w:tc>
          <w:tcPr>
            <w:tcW w:w="1695" w:type="dxa"/>
            <w:tcBorders>
              <w:top w:val="nil"/>
              <w:left w:val="nil"/>
              <w:bottom w:val="single" w:sz="6" w:space="0" w:color="auto"/>
              <w:right w:val="single" w:sz="6" w:space="0" w:color="auto"/>
            </w:tcBorders>
            <w:shd w:val="clear" w:color="auto" w:fill="auto"/>
            <w:vAlign w:val="bottom"/>
            <w:hideMark/>
          </w:tcPr>
          <w:p w14:paraId="79A949E4"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val="en-US" w:eastAsia="en-GB"/>
              </w:rPr>
              <w:t> </w:t>
            </w:r>
            <w:r w:rsidRPr="001B2792">
              <w:rPr>
                <w:rFonts w:ascii="Aptos" w:eastAsia="Times New Roman" w:hAnsi="Aptos" w:cs="Times New Roman"/>
                <w:color w:val="000000"/>
                <w:sz w:val="22"/>
                <w:lang w:eastAsia="en-GB"/>
              </w:rPr>
              <w:t> </w:t>
            </w:r>
          </w:p>
        </w:tc>
      </w:tr>
      <w:tr w:rsidR="001B2792" w:rsidRPr="001B2792" w14:paraId="541B0F88" w14:textId="77777777" w:rsidTr="001B2792">
        <w:trPr>
          <w:trHeight w:val="615"/>
        </w:trPr>
        <w:tc>
          <w:tcPr>
            <w:tcW w:w="2970" w:type="dxa"/>
            <w:tcBorders>
              <w:top w:val="nil"/>
              <w:left w:val="single" w:sz="6" w:space="0" w:color="auto"/>
              <w:bottom w:val="single" w:sz="6" w:space="0" w:color="auto"/>
              <w:right w:val="single" w:sz="6" w:space="0" w:color="auto"/>
            </w:tcBorders>
            <w:shd w:val="clear" w:color="auto" w:fill="auto"/>
            <w:vAlign w:val="bottom"/>
            <w:hideMark/>
          </w:tcPr>
          <w:p w14:paraId="71CF86C2"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val="en-US" w:eastAsia="en-GB"/>
              </w:rPr>
              <w:t>Total Relocation Claim</w:t>
            </w:r>
            <w:r w:rsidRPr="001B2792">
              <w:rPr>
                <w:rFonts w:ascii="Aptos" w:eastAsia="Times New Roman" w:hAnsi="Aptos" w:cs="Times New Roman"/>
                <w:color w:val="000000"/>
                <w:sz w:val="22"/>
                <w:lang w:eastAsia="en-GB"/>
              </w:rPr>
              <w:t> </w:t>
            </w:r>
          </w:p>
        </w:tc>
        <w:tc>
          <w:tcPr>
            <w:tcW w:w="6510" w:type="dxa"/>
            <w:tcBorders>
              <w:top w:val="nil"/>
              <w:left w:val="nil"/>
              <w:bottom w:val="single" w:sz="6" w:space="0" w:color="auto"/>
              <w:right w:val="single" w:sz="6" w:space="0" w:color="auto"/>
            </w:tcBorders>
            <w:shd w:val="clear" w:color="auto" w:fill="auto"/>
            <w:vAlign w:val="bottom"/>
            <w:hideMark/>
          </w:tcPr>
          <w:p w14:paraId="4171A268"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eastAsia="en-GB"/>
              </w:rPr>
              <w:t> </w:t>
            </w:r>
            <w:r w:rsidRPr="001B2792">
              <w:rPr>
                <w:rFonts w:ascii="Aptos" w:eastAsia="Times New Roman" w:hAnsi="Aptos" w:cs="Times New Roman"/>
                <w:color w:val="000000"/>
                <w:sz w:val="22"/>
                <w:lang w:eastAsia="en-GB"/>
              </w:rPr>
              <w:t> </w:t>
            </w:r>
          </w:p>
        </w:tc>
        <w:tc>
          <w:tcPr>
            <w:tcW w:w="1695" w:type="dxa"/>
            <w:tcBorders>
              <w:top w:val="nil"/>
              <w:left w:val="nil"/>
              <w:bottom w:val="single" w:sz="6" w:space="0" w:color="auto"/>
              <w:right w:val="single" w:sz="6" w:space="0" w:color="auto"/>
            </w:tcBorders>
            <w:shd w:val="clear" w:color="auto" w:fill="auto"/>
            <w:vAlign w:val="bottom"/>
            <w:hideMark/>
          </w:tcPr>
          <w:p w14:paraId="3F705935"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eastAsia="en-GB"/>
              </w:rPr>
              <w:t> </w:t>
            </w:r>
            <w:r w:rsidRPr="001B2792">
              <w:rPr>
                <w:rFonts w:ascii="Aptos" w:eastAsia="Times New Roman" w:hAnsi="Aptos" w:cs="Times New Roman"/>
                <w:color w:val="000000"/>
                <w:sz w:val="22"/>
                <w:lang w:eastAsia="en-GB"/>
              </w:rPr>
              <w:t> </w:t>
            </w:r>
          </w:p>
        </w:tc>
      </w:tr>
    </w:tbl>
    <w:p w14:paraId="2D2FC6F9" w14:textId="77777777" w:rsidR="001B2792" w:rsidRPr="001B2792" w:rsidRDefault="001B2792" w:rsidP="001B2792">
      <w:pPr>
        <w:spacing w:after="0" w:line="240" w:lineRule="auto"/>
        <w:ind w:left="-1005"/>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222A35"/>
          <w:sz w:val="22"/>
          <w:lang w:eastAsia="en-GB"/>
        </w:rPr>
        <w:t> </w:t>
      </w:r>
    </w:p>
    <w:p w14:paraId="1CF10DE2" w14:textId="77777777" w:rsidR="001B2792" w:rsidRPr="001B2792" w:rsidRDefault="001B2792" w:rsidP="001B2792">
      <w:pPr>
        <w:spacing w:after="0" w:line="240" w:lineRule="auto"/>
        <w:ind w:left="-1005"/>
        <w:textAlignment w:val="baseline"/>
        <w:rPr>
          <w:rFonts w:ascii="Segoe UI" w:eastAsia="Times New Roman" w:hAnsi="Segoe UI" w:cs="Segoe UI"/>
          <w:color w:val="auto"/>
          <w:sz w:val="18"/>
          <w:szCs w:val="18"/>
          <w:lang w:eastAsia="en-GB"/>
        </w:rPr>
      </w:pPr>
      <w:r w:rsidRPr="001B2792">
        <w:rPr>
          <w:rFonts w:ascii="Aptos" w:eastAsia="Times New Roman" w:hAnsi="Aptos" w:cs="Segoe UI"/>
          <w:b/>
          <w:bCs/>
          <w:color w:val="222A35"/>
          <w:sz w:val="22"/>
          <w:lang w:val="en-US" w:eastAsia="en-GB"/>
        </w:rPr>
        <w:t>Employee Declaration </w:t>
      </w:r>
      <w:r w:rsidRPr="001B2792">
        <w:rPr>
          <w:rFonts w:ascii="Aptos" w:eastAsia="Times New Roman" w:hAnsi="Aptos" w:cs="Segoe UI"/>
          <w:color w:val="222A35"/>
          <w:sz w:val="22"/>
          <w:lang w:eastAsia="en-GB"/>
        </w:rPr>
        <w:t> </w:t>
      </w:r>
    </w:p>
    <w:p w14:paraId="66AE5F41" w14:textId="77777777" w:rsidR="001B2792" w:rsidRPr="001B2792" w:rsidRDefault="001B2792" w:rsidP="001B2792">
      <w:pPr>
        <w:spacing w:after="0" w:line="240" w:lineRule="auto"/>
        <w:ind w:left="-1005"/>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222A35"/>
          <w:sz w:val="22"/>
          <w:lang w:eastAsia="en-GB"/>
        </w:rPr>
        <w:t> </w:t>
      </w:r>
    </w:p>
    <w:p w14:paraId="4A893DBE" w14:textId="77777777" w:rsidR="001B2792" w:rsidRPr="001B2792" w:rsidRDefault="001B2792" w:rsidP="001B2792">
      <w:pPr>
        <w:spacing w:after="0" w:line="240" w:lineRule="auto"/>
        <w:ind w:left="-1005"/>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222A35"/>
          <w:sz w:val="22"/>
          <w:lang w:val="en-US" w:eastAsia="en-GB"/>
        </w:rPr>
        <w:t>I confirm that I have read and understood the University’s Relocation Policy and accept the relocation expenses financial support offered to me under the terms of the Policy.</w:t>
      </w:r>
      <w:r w:rsidRPr="001B2792">
        <w:rPr>
          <w:rFonts w:ascii="Aptos" w:eastAsia="Times New Roman" w:hAnsi="Aptos" w:cs="Segoe UI"/>
          <w:color w:val="222A35"/>
          <w:sz w:val="22"/>
          <w:lang w:eastAsia="en-GB"/>
        </w:rPr>
        <w:t> </w:t>
      </w:r>
    </w:p>
    <w:p w14:paraId="0E1288E7" w14:textId="77777777" w:rsidR="001B2792" w:rsidRPr="001B2792" w:rsidRDefault="001B2792" w:rsidP="001B2792">
      <w:pPr>
        <w:spacing w:after="0" w:line="240" w:lineRule="auto"/>
        <w:ind w:left="-1005"/>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222A35"/>
          <w:sz w:val="22"/>
          <w:lang w:eastAsia="en-GB"/>
        </w:rPr>
        <w:t> </w:t>
      </w:r>
    </w:p>
    <w:p w14:paraId="781AC874" w14:textId="77777777" w:rsidR="001B2792" w:rsidRPr="001B2792" w:rsidRDefault="001B2792" w:rsidP="001B2792">
      <w:pPr>
        <w:spacing w:after="0" w:line="240" w:lineRule="auto"/>
        <w:ind w:left="-1005"/>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222A35"/>
          <w:sz w:val="22"/>
          <w:lang w:val="en-US" w:eastAsia="en-GB"/>
        </w:rPr>
        <w:t>I confirm that if I leave the University’s employment within 3 years of appointment, I will repay the required proportion in line with this policy. This will be deducted from my final salary payment.</w:t>
      </w:r>
      <w:r w:rsidRPr="001B2792">
        <w:rPr>
          <w:rFonts w:ascii="Aptos" w:eastAsia="Times New Roman" w:hAnsi="Aptos" w:cs="Segoe UI"/>
          <w:color w:val="222A35"/>
          <w:sz w:val="22"/>
          <w:lang w:eastAsia="en-GB"/>
        </w:rPr>
        <w:t> </w:t>
      </w:r>
    </w:p>
    <w:p w14:paraId="3688EF5F" w14:textId="77777777" w:rsidR="001B2792" w:rsidRPr="001B2792" w:rsidRDefault="001B2792" w:rsidP="001B2792">
      <w:pPr>
        <w:spacing w:after="0" w:line="240" w:lineRule="auto"/>
        <w:ind w:left="-1005"/>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222A35"/>
          <w:sz w:val="22"/>
          <w:lang w:eastAsia="en-GB"/>
        </w:rPr>
        <w:t> </w:t>
      </w:r>
    </w:p>
    <w:tbl>
      <w:tblPr>
        <w:tblW w:w="0"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7"/>
        <w:gridCol w:w="4769"/>
        <w:gridCol w:w="1056"/>
        <w:gridCol w:w="1963"/>
      </w:tblGrid>
      <w:tr w:rsidR="001B2792" w:rsidRPr="001B2792" w14:paraId="1475E987" w14:textId="77777777" w:rsidTr="001B2792">
        <w:trPr>
          <w:trHeight w:val="675"/>
        </w:trPr>
        <w:tc>
          <w:tcPr>
            <w:tcW w:w="2400"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3E53D246"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eastAsia="en-GB"/>
              </w:rPr>
              <w:t>Signature of Claimant  </w:t>
            </w:r>
          </w:p>
        </w:tc>
        <w:tc>
          <w:tcPr>
            <w:tcW w:w="5415" w:type="dxa"/>
            <w:tcBorders>
              <w:top w:val="single" w:sz="6" w:space="0" w:color="auto"/>
              <w:left w:val="nil"/>
              <w:bottom w:val="single" w:sz="6" w:space="0" w:color="auto"/>
              <w:right w:val="single" w:sz="6" w:space="0" w:color="auto"/>
            </w:tcBorders>
            <w:shd w:val="clear" w:color="auto" w:fill="auto"/>
            <w:vAlign w:val="bottom"/>
            <w:hideMark/>
          </w:tcPr>
          <w:p w14:paraId="30B69B33"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eastAsia="en-GB"/>
              </w:rPr>
              <w:t> </w:t>
            </w:r>
            <w:r w:rsidRPr="001B2792">
              <w:rPr>
                <w:rFonts w:ascii="Aptos" w:eastAsia="Times New Roman" w:hAnsi="Aptos" w:cs="Times New Roman"/>
                <w:color w:val="000000"/>
                <w:sz w:val="22"/>
                <w:lang w:eastAsia="en-GB"/>
              </w:rPr>
              <w:t> </w:t>
            </w:r>
          </w:p>
        </w:tc>
        <w:tc>
          <w:tcPr>
            <w:tcW w:w="1125" w:type="dxa"/>
            <w:tcBorders>
              <w:top w:val="single" w:sz="6" w:space="0" w:color="auto"/>
              <w:left w:val="nil"/>
              <w:bottom w:val="single" w:sz="6" w:space="0" w:color="auto"/>
              <w:right w:val="single" w:sz="6" w:space="0" w:color="auto"/>
            </w:tcBorders>
            <w:shd w:val="clear" w:color="auto" w:fill="D9D9D9"/>
            <w:vAlign w:val="bottom"/>
            <w:hideMark/>
          </w:tcPr>
          <w:p w14:paraId="686CD036"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eastAsia="en-GB"/>
              </w:rPr>
              <w:t>Date  </w:t>
            </w:r>
          </w:p>
        </w:tc>
        <w:tc>
          <w:tcPr>
            <w:tcW w:w="2220" w:type="dxa"/>
            <w:tcBorders>
              <w:top w:val="single" w:sz="6" w:space="0" w:color="auto"/>
              <w:left w:val="nil"/>
              <w:bottom w:val="single" w:sz="6" w:space="0" w:color="auto"/>
              <w:right w:val="single" w:sz="6" w:space="0" w:color="auto"/>
            </w:tcBorders>
            <w:shd w:val="clear" w:color="auto" w:fill="auto"/>
            <w:vAlign w:val="bottom"/>
            <w:hideMark/>
          </w:tcPr>
          <w:p w14:paraId="317C9BE8"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eastAsia="en-GB"/>
              </w:rPr>
              <w:t> </w:t>
            </w:r>
            <w:r w:rsidRPr="001B2792">
              <w:rPr>
                <w:rFonts w:ascii="Aptos" w:eastAsia="Times New Roman" w:hAnsi="Aptos" w:cs="Times New Roman"/>
                <w:color w:val="000000"/>
                <w:sz w:val="22"/>
                <w:lang w:eastAsia="en-GB"/>
              </w:rPr>
              <w:t> </w:t>
            </w:r>
          </w:p>
        </w:tc>
      </w:tr>
    </w:tbl>
    <w:p w14:paraId="0A8C9625" w14:textId="77777777" w:rsidR="001B2792" w:rsidRPr="001B2792" w:rsidRDefault="001B2792" w:rsidP="001B2792">
      <w:pPr>
        <w:spacing w:after="0" w:line="240" w:lineRule="auto"/>
        <w:ind w:left="-1005"/>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222A35"/>
          <w:sz w:val="22"/>
          <w:lang w:eastAsia="en-GB"/>
        </w:rPr>
        <w:t> </w:t>
      </w:r>
    </w:p>
    <w:p w14:paraId="4E68C276" w14:textId="77777777" w:rsidR="001B2792" w:rsidRPr="001B2792" w:rsidRDefault="001B2792" w:rsidP="001B2792">
      <w:pPr>
        <w:spacing w:after="0" w:line="240" w:lineRule="auto"/>
        <w:ind w:left="-1005"/>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222A35"/>
          <w:sz w:val="22"/>
          <w:lang w:eastAsia="en-GB"/>
        </w:rPr>
        <w:t> </w:t>
      </w:r>
    </w:p>
    <w:p w14:paraId="23F90B7A" w14:textId="77777777" w:rsidR="001B2792" w:rsidRPr="001B2792" w:rsidRDefault="001B2792" w:rsidP="001B2792">
      <w:pPr>
        <w:spacing w:after="0" w:line="240" w:lineRule="auto"/>
        <w:ind w:left="-1005"/>
        <w:textAlignment w:val="baseline"/>
        <w:rPr>
          <w:rFonts w:ascii="Segoe UI" w:eastAsia="Times New Roman" w:hAnsi="Segoe UI" w:cs="Segoe UI"/>
          <w:color w:val="auto"/>
          <w:sz w:val="18"/>
          <w:szCs w:val="18"/>
          <w:lang w:eastAsia="en-GB"/>
        </w:rPr>
      </w:pPr>
      <w:r w:rsidRPr="001B2792">
        <w:rPr>
          <w:rFonts w:ascii="Aptos" w:eastAsia="Times New Roman" w:hAnsi="Aptos" w:cs="Segoe UI"/>
          <w:b/>
          <w:bCs/>
          <w:color w:val="222A35"/>
          <w:sz w:val="22"/>
          <w:lang w:val="en-US" w:eastAsia="en-GB"/>
        </w:rPr>
        <w:t>Please forward this form to the Budget Holder for your School/Unit. </w:t>
      </w:r>
      <w:r w:rsidRPr="001B2792">
        <w:rPr>
          <w:rFonts w:ascii="Aptos" w:eastAsia="Times New Roman" w:hAnsi="Aptos" w:cs="Segoe UI"/>
          <w:color w:val="222A35"/>
          <w:sz w:val="22"/>
          <w:lang w:eastAsia="en-GB"/>
        </w:rPr>
        <w:t> </w:t>
      </w:r>
    </w:p>
    <w:p w14:paraId="2439FC4C" w14:textId="77777777" w:rsidR="001B2792" w:rsidRPr="001B2792" w:rsidRDefault="001B2792" w:rsidP="001B2792">
      <w:pPr>
        <w:spacing w:after="0" w:line="240" w:lineRule="auto"/>
        <w:ind w:left="-1005"/>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222A35"/>
          <w:sz w:val="20"/>
          <w:szCs w:val="20"/>
          <w:lang w:eastAsia="en-GB"/>
        </w:rPr>
        <w:t> </w:t>
      </w:r>
    </w:p>
    <w:tbl>
      <w:tblPr>
        <w:tblW w:w="0"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2"/>
        <w:gridCol w:w="4749"/>
        <w:gridCol w:w="1054"/>
        <w:gridCol w:w="1968"/>
      </w:tblGrid>
      <w:tr w:rsidR="001B2792" w:rsidRPr="001B2792" w14:paraId="65DC2DFE" w14:textId="77777777" w:rsidTr="001B2792">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5F90B331"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b/>
                <w:bCs/>
                <w:color w:val="000000"/>
                <w:sz w:val="22"/>
                <w:lang w:eastAsia="en-GB"/>
              </w:rPr>
              <w:lastRenderedPageBreak/>
              <w:t>School/Unit use only </w:t>
            </w:r>
            <w:r w:rsidRPr="001B2792">
              <w:rPr>
                <w:rFonts w:ascii="Aptos" w:eastAsia="Times New Roman" w:hAnsi="Aptos" w:cs="Times New Roman"/>
                <w:color w:val="000000"/>
                <w:sz w:val="22"/>
                <w:lang w:eastAsia="en-GB"/>
              </w:rPr>
              <w:t> </w:t>
            </w:r>
          </w:p>
        </w:tc>
        <w:tc>
          <w:tcPr>
            <w:tcW w:w="5415" w:type="dxa"/>
            <w:tcBorders>
              <w:top w:val="nil"/>
              <w:left w:val="nil"/>
              <w:bottom w:val="nil"/>
              <w:right w:val="nil"/>
            </w:tcBorders>
            <w:shd w:val="clear" w:color="auto" w:fill="auto"/>
            <w:vAlign w:val="bottom"/>
            <w:hideMark/>
          </w:tcPr>
          <w:p w14:paraId="4D3758DC"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eastAsia="en-GB"/>
              </w:rPr>
              <w:t> </w:t>
            </w:r>
          </w:p>
        </w:tc>
        <w:tc>
          <w:tcPr>
            <w:tcW w:w="1125" w:type="dxa"/>
            <w:tcBorders>
              <w:top w:val="nil"/>
              <w:left w:val="nil"/>
              <w:bottom w:val="nil"/>
              <w:right w:val="nil"/>
            </w:tcBorders>
            <w:shd w:val="clear" w:color="auto" w:fill="auto"/>
            <w:vAlign w:val="bottom"/>
            <w:hideMark/>
          </w:tcPr>
          <w:p w14:paraId="5F58C5A3"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222A35"/>
                <w:sz w:val="22"/>
                <w:lang w:eastAsia="en-GB"/>
              </w:rPr>
              <w:t> </w:t>
            </w:r>
          </w:p>
        </w:tc>
        <w:tc>
          <w:tcPr>
            <w:tcW w:w="2220" w:type="dxa"/>
            <w:tcBorders>
              <w:top w:val="nil"/>
              <w:left w:val="nil"/>
              <w:bottom w:val="nil"/>
              <w:right w:val="nil"/>
            </w:tcBorders>
            <w:shd w:val="clear" w:color="auto" w:fill="auto"/>
            <w:vAlign w:val="bottom"/>
            <w:hideMark/>
          </w:tcPr>
          <w:p w14:paraId="6BA2F69F"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222A35"/>
                <w:sz w:val="22"/>
                <w:lang w:eastAsia="en-GB"/>
              </w:rPr>
              <w:t> </w:t>
            </w:r>
          </w:p>
        </w:tc>
      </w:tr>
      <w:tr w:rsidR="001B2792" w:rsidRPr="001B2792" w14:paraId="1BDF6F5F" w14:textId="77777777" w:rsidTr="001B2792">
        <w:trPr>
          <w:trHeight w:val="675"/>
        </w:trPr>
        <w:tc>
          <w:tcPr>
            <w:tcW w:w="2400" w:type="dxa"/>
            <w:tcBorders>
              <w:top w:val="nil"/>
              <w:left w:val="single" w:sz="6" w:space="0" w:color="auto"/>
              <w:bottom w:val="single" w:sz="6" w:space="0" w:color="auto"/>
              <w:right w:val="single" w:sz="6" w:space="0" w:color="auto"/>
            </w:tcBorders>
            <w:shd w:val="clear" w:color="auto" w:fill="D9D9D9"/>
            <w:vAlign w:val="bottom"/>
            <w:hideMark/>
          </w:tcPr>
          <w:p w14:paraId="4ADD4968"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eastAsia="en-GB"/>
              </w:rPr>
              <w:t>Signature of Budget Holder </w:t>
            </w:r>
          </w:p>
        </w:tc>
        <w:tc>
          <w:tcPr>
            <w:tcW w:w="5415" w:type="dxa"/>
            <w:tcBorders>
              <w:top w:val="single" w:sz="6" w:space="0" w:color="auto"/>
              <w:left w:val="nil"/>
              <w:bottom w:val="single" w:sz="6" w:space="0" w:color="auto"/>
              <w:right w:val="single" w:sz="6" w:space="0" w:color="auto"/>
            </w:tcBorders>
            <w:shd w:val="clear" w:color="auto" w:fill="auto"/>
            <w:vAlign w:val="bottom"/>
            <w:hideMark/>
          </w:tcPr>
          <w:p w14:paraId="2655F658"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eastAsia="en-GB"/>
              </w:rPr>
              <w:t> </w:t>
            </w:r>
            <w:r w:rsidRPr="001B2792">
              <w:rPr>
                <w:rFonts w:ascii="Aptos" w:eastAsia="Times New Roman" w:hAnsi="Aptos" w:cs="Times New Roman"/>
                <w:color w:val="000000"/>
                <w:sz w:val="22"/>
                <w:lang w:eastAsia="en-GB"/>
              </w:rPr>
              <w:t> </w:t>
            </w:r>
          </w:p>
        </w:tc>
        <w:tc>
          <w:tcPr>
            <w:tcW w:w="1125" w:type="dxa"/>
            <w:tcBorders>
              <w:top w:val="single" w:sz="6" w:space="0" w:color="auto"/>
              <w:left w:val="nil"/>
              <w:bottom w:val="single" w:sz="6" w:space="0" w:color="auto"/>
              <w:right w:val="single" w:sz="6" w:space="0" w:color="auto"/>
            </w:tcBorders>
            <w:shd w:val="clear" w:color="auto" w:fill="D9D9D9"/>
            <w:vAlign w:val="bottom"/>
            <w:hideMark/>
          </w:tcPr>
          <w:p w14:paraId="4AD86675"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eastAsia="en-GB"/>
              </w:rPr>
              <w:t>Date  </w:t>
            </w:r>
          </w:p>
        </w:tc>
        <w:tc>
          <w:tcPr>
            <w:tcW w:w="2220" w:type="dxa"/>
            <w:tcBorders>
              <w:top w:val="single" w:sz="6" w:space="0" w:color="auto"/>
              <w:left w:val="nil"/>
              <w:bottom w:val="single" w:sz="6" w:space="0" w:color="auto"/>
              <w:right w:val="single" w:sz="6" w:space="0" w:color="auto"/>
            </w:tcBorders>
            <w:shd w:val="clear" w:color="auto" w:fill="auto"/>
            <w:vAlign w:val="bottom"/>
            <w:hideMark/>
          </w:tcPr>
          <w:p w14:paraId="6ADF8432"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eastAsia="en-GB"/>
              </w:rPr>
              <w:t> </w:t>
            </w:r>
            <w:r w:rsidRPr="001B2792">
              <w:rPr>
                <w:rFonts w:ascii="Aptos" w:eastAsia="Times New Roman" w:hAnsi="Aptos" w:cs="Times New Roman"/>
                <w:color w:val="000000"/>
                <w:sz w:val="22"/>
                <w:lang w:eastAsia="en-GB"/>
              </w:rPr>
              <w:t> </w:t>
            </w:r>
          </w:p>
        </w:tc>
      </w:tr>
      <w:tr w:rsidR="001B2792" w:rsidRPr="001B2792" w14:paraId="08B7C938" w14:textId="77777777" w:rsidTr="001B2792">
        <w:trPr>
          <w:trHeight w:val="675"/>
        </w:trPr>
        <w:tc>
          <w:tcPr>
            <w:tcW w:w="2400" w:type="dxa"/>
            <w:tcBorders>
              <w:top w:val="nil"/>
              <w:left w:val="single" w:sz="6" w:space="0" w:color="auto"/>
              <w:bottom w:val="single" w:sz="6" w:space="0" w:color="auto"/>
              <w:right w:val="single" w:sz="6" w:space="0" w:color="auto"/>
            </w:tcBorders>
            <w:shd w:val="clear" w:color="auto" w:fill="D9D9D9"/>
            <w:vAlign w:val="bottom"/>
            <w:hideMark/>
          </w:tcPr>
          <w:p w14:paraId="65C05711" w14:textId="77777777" w:rsidR="001B2792" w:rsidRPr="001B2792" w:rsidRDefault="001B2792" w:rsidP="001B2792">
            <w:pPr>
              <w:spacing w:after="0" w:line="240" w:lineRule="auto"/>
              <w:textAlignment w:val="baseline"/>
              <w:rPr>
                <w:rFonts w:ascii="Times New Roman" w:eastAsia="Times New Roman" w:hAnsi="Times New Roman" w:cs="Times New Roman"/>
                <w:color w:val="auto"/>
                <w:szCs w:val="24"/>
                <w:lang w:eastAsia="en-GB"/>
              </w:rPr>
            </w:pPr>
            <w:r w:rsidRPr="001B2792">
              <w:rPr>
                <w:rFonts w:ascii="Aptos" w:eastAsia="Times New Roman" w:hAnsi="Aptos" w:cs="Times New Roman"/>
                <w:color w:val="000000"/>
                <w:sz w:val="22"/>
                <w:lang w:eastAsia="en-GB"/>
              </w:rPr>
              <w:t>Cost Code  </w:t>
            </w:r>
          </w:p>
        </w:tc>
        <w:tc>
          <w:tcPr>
            <w:tcW w:w="8775" w:type="dxa"/>
            <w:gridSpan w:val="3"/>
            <w:tcBorders>
              <w:top w:val="single" w:sz="6" w:space="0" w:color="auto"/>
              <w:left w:val="nil"/>
              <w:bottom w:val="single" w:sz="6" w:space="0" w:color="auto"/>
              <w:right w:val="single" w:sz="6" w:space="0" w:color="000000"/>
            </w:tcBorders>
            <w:shd w:val="clear" w:color="auto" w:fill="auto"/>
            <w:vAlign w:val="bottom"/>
            <w:hideMark/>
          </w:tcPr>
          <w:p w14:paraId="1ED912ED" w14:textId="77777777" w:rsidR="001B2792" w:rsidRPr="001B2792" w:rsidRDefault="001B2792" w:rsidP="001B2792">
            <w:pPr>
              <w:spacing w:after="0" w:line="240" w:lineRule="auto"/>
              <w:jc w:val="center"/>
              <w:textAlignment w:val="baseline"/>
              <w:rPr>
                <w:rFonts w:ascii="Times New Roman" w:eastAsia="Times New Roman" w:hAnsi="Times New Roman" w:cs="Times New Roman"/>
                <w:color w:val="auto"/>
                <w:szCs w:val="24"/>
                <w:lang w:eastAsia="en-GB"/>
              </w:rPr>
            </w:pPr>
            <w:r w:rsidRPr="001B2792">
              <w:rPr>
                <w:rFonts w:eastAsia="Times New Roman" w:cs="Arial"/>
                <w:color w:val="000000"/>
                <w:sz w:val="22"/>
                <w:lang w:eastAsia="en-GB"/>
              </w:rPr>
              <w:t> </w:t>
            </w:r>
            <w:r w:rsidRPr="001B2792">
              <w:rPr>
                <w:rFonts w:ascii="Aptos" w:eastAsia="Times New Roman" w:hAnsi="Aptos" w:cs="Times New Roman"/>
                <w:color w:val="000000"/>
                <w:sz w:val="22"/>
                <w:lang w:eastAsia="en-GB"/>
              </w:rPr>
              <w:t> </w:t>
            </w:r>
          </w:p>
        </w:tc>
      </w:tr>
    </w:tbl>
    <w:p w14:paraId="0DAF28E3" w14:textId="77777777" w:rsidR="001B2792" w:rsidRPr="001B2792" w:rsidRDefault="001B2792" w:rsidP="001B2792">
      <w:pPr>
        <w:spacing w:after="0" w:line="240" w:lineRule="auto"/>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222A35"/>
          <w:sz w:val="22"/>
          <w:lang w:eastAsia="en-GB"/>
        </w:rPr>
        <w:t> </w:t>
      </w:r>
    </w:p>
    <w:p w14:paraId="13C04124" w14:textId="77777777" w:rsidR="001B2792" w:rsidRPr="001B2792" w:rsidRDefault="001B2792" w:rsidP="001B2792">
      <w:pPr>
        <w:spacing w:after="0" w:line="240" w:lineRule="auto"/>
        <w:ind w:left="-1005"/>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0563C1"/>
          <w:sz w:val="22"/>
          <w:lang w:eastAsia="en-GB"/>
        </w:rPr>
        <w:t> </w:t>
      </w:r>
    </w:p>
    <w:p w14:paraId="518FD027" w14:textId="77777777" w:rsidR="001B2792" w:rsidRPr="001B2792" w:rsidRDefault="001B2792" w:rsidP="001B2792">
      <w:pPr>
        <w:spacing w:after="0" w:line="240" w:lineRule="auto"/>
        <w:ind w:left="-1005"/>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0563C1"/>
          <w:sz w:val="22"/>
          <w:lang w:eastAsia="en-GB"/>
        </w:rPr>
        <w:t> </w:t>
      </w:r>
    </w:p>
    <w:p w14:paraId="552E832E" w14:textId="77777777" w:rsidR="00C454B7" w:rsidRDefault="001B2792" w:rsidP="00C454B7">
      <w:pPr>
        <w:spacing w:after="0" w:line="240" w:lineRule="auto"/>
        <w:ind w:left="-1005"/>
        <w:textAlignment w:val="baseline"/>
        <w:rPr>
          <w:rFonts w:ascii="Segoe UI" w:eastAsia="Times New Roman" w:hAnsi="Segoe UI" w:cs="Segoe UI"/>
          <w:color w:val="auto"/>
          <w:sz w:val="18"/>
          <w:szCs w:val="18"/>
          <w:lang w:eastAsia="en-GB"/>
        </w:rPr>
      </w:pPr>
      <w:r w:rsidRPr="001B2792">
        <w:rPr>
          <w:rFonts w:ascii="Aptos" w:eastAsia="Times New Roman" w:hAnsi="Aptos" w:cs="Segoe UI"/>
          <w:b/>
          <w:bCs/>
          <w:color w:val="222A35"/>
          <w:sz w:val="22"/>
          <w:lang w:val="en-US" w:eastAsia="en-GB"/>
        </w:rPr>
        <w:t>Notes:</w:t>
      </w:r>
      <w:r w:rsidRPr="001B2792">
        <w:rPr>
          <w:rFonts w:ascii="Aptos" w:eastAsia="Times New Roman" w:hAnsi="Aptos" w:cs="Segoe UI"/>
          <w:color w:val="222A35"/>
          <w:sz w:val="22"/>
          <w:lang w:eastAsia="en-GB"/>
        </w:rPr>
        <w:t> </w:t>
      </w:r>
    </w:p>
    <w:p w14:paraId="66C65C65" w14:textId="77777777" w:rsidR="00C454B7" w:rsidRPr="00C454B7" w:rsidRDefault="001B2792" w:rsidP="00C454B7">
      <w:pPr>
        <w:pStyle w:val="ListParagraph"/>
        <w:numPr>
          <w:ilvl w:val="0"/>
          <w:numId w:val="39"/>
        </w:numPr>
        <w:spacing w:after="0" w:line="240" w:lineRule="auto"/>
        <w:textAlignment w:val="baseline"/>
        <w:rPr>
          <w:rFonts w:ascii="Segoe UI" w:eastAsia="Times New Roman" w:hAnsi="Segoe UI" w:cs="Segoe UI"/>
          <w:color w:val="auto"/>
          <w:sz w:val="18"/>
          <w:szCs w:val="18"/>
          <w:lang w:eastAsia="en-GB"/>
        </w:rPr>
      </w:pPr>
      <w:r w:rsidRPr="00C454B7">
        <w:rPr>
          <w:rFonts w:ascii="Aptos" w:eastAsia="Times New Roman" w:hAnsi="Aptos" w:cs="Segoe UI"/>
          <w:color w:val="222A35"/>
          <w:sz w:val="22"/>
          <w:lang w:val="en-US" w:eastAsia="en-GB"/>
        </w:rPr>
        <w:t>Only fully completed and properly</w:t>
      </w:r>
      <w:r w:rsidRPr="00C454B7">
        <w:rPr>
          <w:rFonts w:ascii="Aptos" w:eastAsia="Times New Roman" w:hAnsi="Aptos" w:cs="Segoe UI"/>
          <w:color w:val="222A35"/>
          <w:sz w:val="22"/>
          <w:lang w:eastAsia="en-GB"/>
        </w:rPr>
        <w:t xml:space="preserve"> authorised</w:t>
      </w:r>
      <w:r w:rsidRPr="00C454B7">
        <w:rPr>
          <w:rFonts w:ascii="Aptos" w:eastAsia="Times New Roman" w:hAnsi="Aptos" w:cs="Segoe UI"/>
          <w:color w:val="222A35"/>
          <w:sz w:val="22"/>
          <w:lang w:val="en-US" w:eastAsia="en-GB"/>
        </w:rPr>
        <w:t xml:space="preserve"> forms will be processed.</w:t>
      </w:r>
      <w:r w:rsidRPr="00C454B7">
        <w:rPr>
          <w:rFonts w:ascii="Aptos" w:eastAsia="Times New Roman" w:hAnsi="Aptos" w:cs="Segoe UI"/>
          <w:color w:val="222A35"/>
          <w:sz w:val="22"/>
          <w:lang w:eastAsia="en-GB"/>
        </w:rPr>
        <w:t> </w:t>
      </w:r>
    </w:p>
    <w:p w14:paraId="1C36C12C" w14:textId="77777777" w:rsidR="00C454B7" w:rsidRPr="00C454B7" w:rsidRDefault="001B2792" w:rsidP="00C454B7">
      <w:pPr>
        <w:pStyle w:val="ListParagraph"/>
        <w:numPr>
          <w:ilvl w:val="0"/>
          <w:numId w:val="39"/>
        </w:numPr>
        <w:spacing w:after="0" w:line="240" w:lineRule="auto"/>
        <w:textAlignment w:val="baseline"/>
        <w:rPr>
          <w:rFonts w:ascii="Segoe UI" w:eastAsia="Times New Roman" w:hAnsi="Segoe UI" w:cs="Segoe UI"/>
          <w:color w:val="auto"/>
          <w:sz w:val="18"/>
          <w:szCs w:val="18"/>
          <w:lang w:eastAsia="en-GB"/>
        </w:rPr>
      </w:pPr>
      <w:r w:rsidRPr="00C454B7">
        <w:rPr>
          <w:rFonts w:ascii="Aptos" w:eastAsia="Times New Roman" w:hAnsi="Aptos" w:cs="Segoe UI"/>
          <w:color w:val="222A35"/>
          <w:sz w:val="22"/>
          <w:lang w:val="en-US" w:eastAsia="en-GB"/>
        </w:rPr>
        <w:t>All expenses claimed must be supported by receipts and be in accordance with the rates allowed within the Relocation Policy. </w:t>
      </w:r>
      <w:r w:rsidRPr="00C454B7">
        <w:rPr>
          <w:rFonts w:ascii="Aptos" w:eastAsia="Times New Roman" w:hAnsi="Aptos" w:cs="Segoe UI"/>
          <w:color w:val="222A35"/>
          <w:sz w:val="22"/>
          <w:lang w:eastAsia="en-GB"/>
        </w:rPr>
        <w:t> </w:t>
      </w:r>
    </w:p>
    <w:p w14:paraId="7CA78756" w14:textId="77777777" w:rsidR="00C454B7" w:rsidRPr="00C454B7" w:rsidRDefault="001B2792" w:rsidP="00C454B7">
      <w:pPr>
        <w:pStyle w:val="ListParagraph"/>
        <w:numPr>
          <w:ilvl w:val="0"/>
          <w:numId w:val="39"/>
        </w:numPr>
        <w:spacing w:after="0" w:line="240" w:lineRule="auto"/>
        <w:textAlignment w:val="baseline"/>
        <w:rPr>
          <w:rFonts w:ascii="Segoe UI" w:eastAsia="Times New Roman" w:hAnsi="Segoe UI" w:cs="Segoe UI"/>
          <w:color w:val="auto"/>
          <w:sz w:val="18"/>
          <w:szCs w:val="18"/>
          <w:lang w:eastAsia="en-GB"/>
        </w:rPr>
      </w:pPr>
      <w:r w:rsidRPr="00C454B7">
        <w:rPr>
          <w:rFonts w:ascii="Aptos" w:eastAsia="Times New Roman" w:hAnsi="Aptos" w:cs="Segoe UI"/>
          <w:color w:val="222A35"/>
          <w:sz w:val="22"/>
          <w:lang w:val="en-US" w:eastAsia="en-GB"/>
        </w:rPr>
        <w:t>Claims in foreign currencies will be calculated on the exchange rate in place on the date of the receipt. </w:t>
      </w:r>
      <w:r w:rsidRPr="00C454B7">
        <w:rPr>
          <w:rFonts w:ascii="Aptos" w:eastAsia="Times New Roman" w:hAnsi="Aptos" w:cs="Segoe UI"/>
          <w:color w:val="222A35"/>
          <w:sz w:val="22"/>
          <w:lang w:eastAsia="en-GB"/>
        </w:rPr>
        <w:t> </w:t>
      </w:r>
    </w:p>
    <w:p w14:paraId="38965845" w14:textId="77777777" w:rsidR="00C454B7" w:rsidRPr="00C454B7" w:rsidRDefault="001B2792" w:rsidP="00C454B7">
      <w:pPr>
        <w:pStyle w:val="ListParagraph"/>
        <w:numPr>
          <w:ilvl w:val="0"/>
          <w:numId w:val="39"/>
        </w:numPr>
        <w:spacing w:after="0" w:line="240" w:lineRule="auto"/>
        <w:textAlignment w:val="baseline"/>
        <w:rPr>
          <w:rFonts w:ascii="Segoe UI" w:eastAsia="Times New Roman" w:hAnsi="Segoe UI" w:cs="Segoe UI"/>
          <w:color w:val="auto"/>
          <w:sz w:val="18"/>
          <w:szCs w:val="18"/>
          <w:lang w:eastAsia="en-GB"/>
        </w:rPr>
      </w:pPr>
      <w:r w:rsidRPr="00C454B7">
        <w:rPr>
          <w:rFonts w:ascii="Aptos" w:eastAsia="Times New Roman" w:hAnsi="Aptos" w:cs="Segoe UI"/>
          <w:color w:val="222A35"/>
          <w:sz w:val="22"/>
          <w:lang w:val="en-US" w:eastAsia="en-GB"/>
        </w:rPr>
        <w:t>In authorising a claim, the budget holder is stating that they are satisfied that the claim is reasonable and justified.</w:t>
      </w:r>
      <w:r w:rsidRPr="00C454B7">
        <w:rPr>
          <w:rFonts w:ascii="Aptos" w:eastAsia="Times New Roman" w:hAnsi="Aptos" w:cs="Segoe UI"/>
          <w:color w:val="222A35"/>
          <w:sz w:val="22"/>
          <w:lang w:eastAsia="en-GB"/>
        </w:rPr>
        <w:t> </w:t>
      </w:r>
    </w:p>
    <w:p w14:paraId="0EEB99F3" w14:textId="09CDD5F9" w:rsidR="001B2792" w:rsidRPr="00C454B7" w:rsidRDefault="001B2792" w:rsidP="00C454B7">
      <w:pPr>
        <w:pStyle w:val="ListParagraph"/>
        <w:numPr>
          <w:ilvl w:val="0"/>
          <w:numId w:val="39"/>
        </w:numPr>
        <w:spacing w:after="0" w:line="240" w:lineRule="auto"/>
        <w:textAlignment w:val="baseline"/>
        <w:rPr>
          <w:rFonts w:ascii="Segoe UI" w:eastAsia="Times New Roman" w:hAnsi="Segoe UI" w:cs="Segoe UI"/>
          <w:color w:val="auto"/>
          <w:sz w:val="18"/>
          <w:szCs w:val="18"/>
          <w:lang w:eastAsia="en-GB"/>
        </w:rPr>
      </w:pPr>
      <w:r w:rsidRPr="00C454B7">
        <w:rPr>
          <w:rFonts w:ascii="Aptos" w:eastAsia="Times New Roman" w:hAnsi="Aptos" w:cs="Segoe UI"/>
          <w:color w:val="222A35"/>
          <w:sz w:val="22"/>
          <w:lang w:val="en-US" w:eastAsia="en-GB"/>
        </w:rPr>
        <w:t xml:space="preserve">Once authorised, please forward this form, with original receipts to </w:t>
      </w:r>
      <w:r w:rsidRPr="00C454B7">
        <w:rPr>
          <w:rFonts w:ascii="Aptos" w:eastAsia="Times New Roman" w:hAnsi="Aptos" w:cs="Segoe UI"/>
          <w:b/>
          <w:bCs/>
          <w:color w:val="222A35"/>
          <w:sz w:val="22"/>
          <w:lang w:val="en-US" w:eastAsia="en-GB"/>
        </w:rPr>
        <w:t>payroll@cardiffmet.ac.uk</w:t>
      </w:r>
      <w:r w:rsidRPr="00C454B7">
        <w:rPr>
          <w:rFonts w:ascii="Aptos" w:eastAsia="Times New Roman" w:hAnsi="Aptos" w:cs="Segoe UI"/>
          <w:color w:val="222A35"/>
          <w:sz w:val="22"/>
          <w:lang w:eastAsia="en-GB"/>
        </w:rPr>
        <w:t> </w:t>
      </w:r>
    </w:p>
    <w:p w14:paraId="7F7DC6C1" w14:textId="77777777" w:rsidR="001B2792" w:rsidRPr="001B2792" w:rsidRDefault="001B2792" w:rsidP="001B2792">
      <w:pPr>
        <w:spacing w:after="0" w:line="240" w:lineRule="auto"/>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222A35"/>
          <w:sz w:val="22"/>
          <w:lang w:eastAsia="en-GB"/>
        </w:rPr>
        <w:t> </w:t>
      </w:r>
    </w:p>
    <w:p w14:paraId="173EE542" w14:textId="77777777" w:rsidR="001B2792" w:rsidRPr="001B2792" w:rsidRDefault="001B2792" w:rsidP="001B2792">
      <w:pPr>
        <w:spacing w:after="0" w:line="240" w:lineRule="auto"/>
        <w:textAlignment w:val="baseline"/>
        <w:rPr>
          <w:rFonts w:ascii="Segoe UI" w:eastAsia="Times New Roman" w:hAnsi="Segoe UI" w:cs="Segoe UI"/>
          <w:color w:val="auto"/>
          <w:sz w:val="18"/>
          <w:szCs w:val="18"/>
          <w:lang w:eastAsia="en-GB"/>
        </w:rPr>
      </w:pPr>
      <w:r w:rsidRPr="001B2792">
        <w:rPr>
          <w:rFonts w:ascii="Aptos" w:eastAsia="Times New Roman" w:hAnsi="Aptos" w:cs="Segoe UI"/>
          <w:color w:val="auto"/>
          <w:sz w:val="22"/>
          <w:lang w:eastAsia="en-GB"/>
        </w:rPr>
        <w:t> </w:t>
      </w:r>
    </w:p>
    <w:p w14:paraId="106CA733" w14:textId="623261B5" w:rsidR="00DA65F7" w:rsidRPr="00DA65F7" w:rsidRDefault="00DA65F7" w:rsidP="00A30D73">
      <w:pPr>
        <w:rPr>
          <w:color w:val="auto"/>
        </w:rPr>
      </w:pPr>
    </w:p>
    <w:sectPr w:rsidR="00DA65F7" w:rsidRPr="00DA65F7" w:rsidSect="00F20D28">
      <w:footerReference w:type="default" r:id="rId20"/>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FDDE4" w14:textId="77777777" w:rsidR="00313AE9" w:rsidRDefault="00313AE9" w:rsidP="003B0CD4">
      <w:pPr>
        <w:spacing w:after="0" w:line="240" w:lineRule="auto"/>
      </w:pPr>
      <w:r>
        <w:separator/>
      </w:r>
    </w:p>
  </w:endnote>
  <w:endnote w:type="continuationSeparator" w:id="0">
    <w:p w14:paraId="50F29C9F" w14:textId="77777777" w:rsidR="00313AE9" w:rsidRDefault="00313AE9" w:rsidP="003B0CD4">
      <w:pPr>
        <w:spacing w:after="0" w:line="240" w:lineRule="auto"/>
      </w:pPr>
      <w:r>
        <w:continuationSeparator/>
      </w:r>
    </w:p>
  </w:endnote>
  <w:endnote w:type="continuationNotice" w:id="1">
    <w:p w14:paraId="7C793053" w14:textId="77777777" w:rsidR="00313AE9" w:rsidRDefault="00313A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EE38D" w14:textId="77777777" w:rsidR="00313AE9" w:rsidRDefault="00313AE9" w:rsidP="003B0CD4">
      <w:pPr>
        <w:spacing w:after="0" w:line="240" w:lineRule="auto"/>
      </w:pPr>
      <w:r>
        <w:separator/>
      </w:r>
    </w:p>
  </w:footnote>
  <w:footnote w:type="continuationSeparator" w:id="0">
    <w:p w14:paraId="023D858E" w14:textId="77777777" w:rsidR="00313AE9" w:rsidRDefault="00313AE9" w:rsidP="003B0CD4">
      <w:pPr>
        <w:spacing w:after="0" w:line="240" w:lineRule="auto"/>
      </w:pPr>
      <w:r>
        <w:continuationSeparator/>
      </w:r>
    </w:p>
  </w:footnote>
  <w:footnote w:type="continuationNotice" w:id="1">
    <w:p w14:paraId="68EBA1B6" w14:textId="77777777" w:rsidR="00313AE9" w:rsidRDefault="00313A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C3913"/>
    <w:multiLevelType w:val="hybridMultilevel"/>
    <w:tmpl w:val="A080C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2656F0"/>
    <w:multiLevelType w:val="hybridMultilevel"/>
    <w:tmpl w:val="BCE63DE2"/>
    <w:lvl w:ilvl="0" w:tplc="08090001">
      <w:start w:val="1"/>
      <w:numFmt w:val="bullet"/>
      <w:lvlText w:val=""/>
      <w:lvlJc w:val="left"/>
      <w:pPr>
        <w:ind w:left="-285" w:hanging="360"/>
      </w:pPr>
      <w:rPr>
        <w:rFonts w:ascii="Symbol" w:hAnsi="Symbol" w:hint="default"/>
      </w:rPr>
    </w:lvl>
    <w:lvl w:ilvl="1" w:tplc="08090003" w:tentative="1">
      <w:start w:val="1"/>
      <w:numFmt w:val="bullet"/>
      <w:lvlText w:val="o"/>
      <w:lvlJc w:val="left"/>
      <w:pPr>
        <w:ind w:left="435" w:hanging="360"/>
      </w:pPr>
      <w:rPr>
        <w:rFonts w:ascii="Courier New" w:hAnsi="Courier New" w:cs="Courier New" w:hint="default"/>
      </w:rPr>
    </w:lvl>
    <w:lvl w:ilvl="2" w:tplc="08090005" w:tentative="1">
      <w:start w:val="1"/>
      <w:numFmt w:val="bullet"/>
      <w:lvlText w:val=""/>
      <w:lvlJc w:val="left"/>
      <w:pPr>
        <w:ind w:left="1155" w:hanging="360"/>
      </w:pPr>
      <w:rPr>
        <w:rFonts w:ascii="Wingdings" w:hAnsi="Wingdings" w:hint="default"/>
      </w:rPr>
    </w:lvl>
    <w:lvl w:ilvl="3" w:tplc="08090001" w:tentative="1">
      <w:start w:val="1"/>
      <w:numFmt w:val="bullet"/>
      <w:lvlText w:val=""/>
      <w:lvlJc w:val="left"/>
      <w:pPr>
        <w:ind w:left="1875" w:hanging="360"/>
      </w:pPr>
      <w:rPr>
        <w:rFonts w:ascii="Symbol" w:hAnsi="Symbol" w:hint="default"/>
      </w:rPr>
    </w:lvl>
    <w:lvl w:ilvl="4" w:tplc="08090003" w:tentative="1">
      <w:start w:val="1"/>
      <w:numFmt w:val="bullet"/>
      <w:lvlText w:val="o"/>
      <w:lvlJc w:val="left"/>
      <w:pPr>
        <w:ind w:left="2595" w:hanging="360"/>
      </w:pPr>
      <w:rPr>
        <w:rFonts w:ascii="Courier New" w:hAnsi="Courier New" w:cs="Courier New" w:hint="default"/>
      </w:rPr>
    </w:lvl>
    <w:lvl w:ilvl="5" w:tplc="08090005" w:tentative="1">
      <w:start w:val="1"/>
      <w:numFmt w:val="bullet"/>
      <w:lvlText w:val=""/>
      <w:lvlJc w:val="left"/>
      <w:pPr>
        <w:ind w:left="3315" w:hanging="360"/>
      </w:pPr>
      <w:rPr>
        <w:rFonts w:ascii="Wingdings" w:hAnsi="Wingdings" w:hint="default"/>
      </w:rPr>
    </w:lvl>
    <w:lvl w:ilvl="6" w:tplc="08090001" w:tentative="1">
      <w:start w:val="1"/>
      <w:numFmt w:val="bullet"/>
      <w:lvlText w:val=""/>
      <w:lvlJc w:val="left"/>
      <w:pPr>
        <w:ind w:left="4035" w:hanging="360"/>
      </w:pPr>
      <w:rPr>
        <w:rFonts w:ascii="Symbol" w:hAnsi="Symbol" w:hint="default"/>
      </w:rPr>
    </w:lvl>
    <w:lvl w:ilvl="7" w:tplc="08090003" w:tentative="1">
      <w:start w:val="1"/>
      <w:numFmt w:val="bullet"/>
      <w:lvlText w:val="o"/>
      <w:lvlJc w:val="left"/>
      <w:pPr>
        <w:ind w:left="4755" w:hanging="360"/>
      </w:pPr>
      <w:rPr>
        <w:rFonts w:ascii="Courier New" w:hAnsi="Courier New" w:cs="Courier New" w:hint="default"/>
      </w:rPr>
    </w:lvl>
    <w:lvl w:ilvl="8" w:tplc="08090005" w:tentative="1">
      <w:start w:val="1"/>
      <w:numFmt w:val="bullet"/>
      <w:lvlText w:val=""/>
      <w:lvlJc w:val="left"/>
      <w:pPr>
        <w:ind w:left="5475" w:hanging="360"/>
      </w:pPr>
      <w:rPr>
        <w:rFonts w:ascii="Wingdings" w:hAnsi="Wingdings" w:hint="default"/>
      </w:rPr>
    </w:lvl>
  </w:abstractNum>
  <w:abstractNum w:abstractNumId="15" w15:restartNumberingAfterBreak="0">
    <w:nsid w:val="18D97948"/>
    <w:multiLevelType w:val="hybridMultilevel"/>
    <w:tmpl w:val="9118B4D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6" w15:restartNumberingAfterBreak="0">
    <w:nsid w:val="19EE76FA"/>
    <w:multiLevelType w:val="hybridMultilevel"/>
    <w:tmpl w:val="4252B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4432D2"/>
    <w:multiLevelType w:val="multilevel"/>
    <w:tmpl w:val="E382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C62735"/>
    <w:multiLevelType w:val="multilevel"/>
    <w:tmpl w:val="96BE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081EA7"/>
    <w:multiLevelType w:val="multilevel"/>
    <w:tmpl w:val="3ECC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C3655A"/>
    <w:multiLevelType w:val="multilevel"/>
    <w:tmpl w:val="F59A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E913E2"/>
    <w:multiLevelType w:val="hybridMultilevel"/>
    <w:tmpl w:val="3F3E7C7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6"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EF33FEC"/>
    <w:multiLevelType w:val="multilevel"/>
    <w:tmpl w:val="0B58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A631B7"/>
    <w:multiLevelType w:val="hybridMultilevel"/>
    <w:tmpl w:val="DD2A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C711FD"/>
    <w:multiLevelType w:val="hybridMultilevel"/>
    <w:tmpl w:val="C6202CFA"/>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31" w15:restartNumberingAfterBreak="0">
    <w:nsid w:val="7E4F0220"/>
    <w:multiLevelType w:val="hybridMultilevel"/>
    <w:tmpl w:val="69F444E4"/>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587619">
    <w:abstractNumId w:val="33"/>
  </w:num>
  <w:num w:numId="2" w16cid:durableId="1472677027">
    <w:abstractNumId w:val="13"/>
  </w:num>
  <w:num w:numId="3" w16cid:durableId="1902905293">
    <w:abstractNumId w:val="19"/>
  </w:num>
  <w:num w:numId="4" w16cid:durableId="1612585760">
    <w:abstractNumId w:val="26"/>
  </w:num>
  <w:num w:numId="5" w16cid:durableId="1433431413">
    <w:abstractNumId w:val="18"/>
  </w:num>
  <w:num w:numId="6" w16cid:durableId="1060902422">
    <w:abstractNumId w:val="28"/>
  </w:num>
  <w:num w:numId="7" w16cid:durableId="1430806971">
    <w:abstractNumId w:val="9"/>
  </w:num>
  <w:num w:numId="8" w16cid:durableId="753622557">
    <w:abstractNumId w:val="7"/>
  </w:num>
  <w:num w:numId="9" w16cid:durableId="1197886209">
    <w:abstractNumId w:val="6"/>
  </w:num>
  <w:num w:numId="10" w16cid:durableId="580602497">
    <w:abstractNumId w:val="5"/>
  </w:num>
  <w:num w:numId="11" w16cid:durableId="774599251">
    <w:abstractNumId w:val="4"/>
  </w:num>
  <w:num w:numId="12" w16cid:durableId="269049246">
    <w:abstractNumId w:val="8"/>
  </w:num>
  <w:num w:numId="13" w16cid:durableId="1531071890">
    <w:abstractNumId w:val="3"/>
  </w:num>
  <w:num w:numId="14" w16cid:durableId="1013343920">
    <w:abstractNumId w:val="2"/>
  </w:num>
  <w:num w:numId="15" w16cid:durableId="1820925496">
    <w:abstractNumId w:val="1"/>
  </w:num>
  <w:num w:numId="16" w16cid:durableId="1684086042">
    <w:abstractNumId w:val="0"/>
  </w:num>
  <w:num w:numId="17" w16cid:durableId="1745179398">
    <w:abstractNumId w:val="11"/>
  </w:num>
  <w:num w:numId="18" w16cid:durableId="1388258086">
    <w:abstractNumId w:val="22"/>
  </w:num>
  <w:num w:numId="19" w16cid:durableId="9137784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4397268">
    <w:abstractNumId w:val="32"/>
  </w:num>
  <w:num w:numId="21" w16cid:durableId="415443290">
    <w:abstractNumId w:val="12"/>
  </w:num>
  <w:num w:numId="22" w16cid:durableId="1540049010">
    <w:abstractNumId w:val="21"/>
  </w:num>
  <w:num w:numId="23" w16cid:durableId="1181429986">
    <w:abstractNumId w:val="15"/>
  </w:num>
  <w:num w:numId="24" w16cid:durableId="109934036">
    <w:abstractNumId w:val="31"/>
  </w:num>
  <w:num w:numId="25" w16cid:durableId="206450185">
    <w:abstractNumId w:val="10"/>
  </w:num>
  <w:num w:numId="26" w16cid:durableId="2007973954">
    <w:abstractNumId w:val="25"/>
  </w:num>
  <w:num w:numId="27" w16cid:durableId="1237546865">
    <w:abstractNumId w:val="29"/>
  </w:num>
  <w:num w:numId="28" w16cid:durableId="402528277">
    <w:abstractNumId w:val="16"/>
  </w:num>
  <w:num w:numId="29" w16cid:durableId="819343036">
    <w:abstractNumId w:val="30"/>
  </w:num>
  <w:num w:numId="30" w16cid:durableId="2082019546">
    <w:abstractNumId w:val="26"/>
  </w:num>
  <w:num w:numId="31" w16cid:durableId="683288107">
    <w:abstractNumId w:val="26"/>
  </w:num>
  <w:num w:numId="32" w16cid:durableId="846554316">
    <w:abstractNumId w:val="26"/>
  </w:num>
  <w:num w:numId="33" w16cid:durableId="1193879709">
    <w:abstractNumId w:val="26"/>
  </w:num>
  <w:num w:numId="34" w16cid:durableId="290942284">
    <w:abstractNumId w:val="17"/>
  </w:num>
  <w:num w:numId="35" w16cid:durableId="31423563">
    <w:abstractNumId w:val="20"/>
  </w:num>
  <w:num w:numId="36" w16cid:durableId="1615554866">
    <w:abstractNumId w:val="24"/>
  </w:num>
  <w:num w:numId="37" w16cid:durableId="1689482256">
    <w:abstractNumId w:val="23"/>
  </w:num>
  <w:num w:numId="38" w16cid:durableId="1684359221">
    <w:abstractNumId w:val="27"/>
  </w:num>
  <w:num w:numId="39" w16cid:durableId="13630179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1D03"/>
    <w:rsid w:val="00004F36"/>
    <w:rsid w:val="00015CC3"/>
    <w:rsid w:val="0002203C"/>
    <w:rsid w:val="00023AAD"/>
    <w:rsid w:val="00023DAB"/>
    <w:rsid w:val="00034C64"/>
    <w:rsid w:val="00035408"/>
    <w:rsid w:val="000364A4"/>
    <w:rsid w:val="000423C2"/>
    <w:rsid w:val="0006106B"/>
    <w:rsid w:val="0006754B"/>
    <w:rsid w:val="00067966"/>
    <w:rsid w:val="000751D7"/>
    <w:rsid w:val="00084894"/>
    <w:rsid w:val="00087EFF"/>
    <w:rsid w:val="000915FA"/>
    <w:rsid w:val="00095429"/>
    <w:rsid w:val="0009597B"/>
    <w:rsid w:val="00096435"/>
    <w:rsid w:val="000B435B"/>
    <w:rsid w:val="000C1D32"/>
    <w:rsid w:val="000C7CFA"/>
    <w:rsid w:val="000D0B2C"/>
    <w:rsid w:val="000D23F4"/>
    <w:rsid w:val="000D3EF5"/>
    <w:rsid w:val="000F0838"/>
    <w:rsid w:val="000F13D6"/>
    <w:rsid w:val="000F24E3"/>
    <w:rsid w:val="000F3FF4"/>
    <w:rsid w:val="00104DCF"/>
    <w:rsid w:val="001120FF"/>
    <w:rsid w:val="00120B10"/>
    <w:rsid w:val="0012564B"/>
    <w:rsid w:val="00130BA3"/>
    <w:rsid w:val="0013304E"/>
    <w:rsid w:val="00135FB2"/>
    <w:rsid w:val="0013607D"/>
    <w:rsid w:val="001367FE"/>
    <w:rsid w:val="001420C5"/>
    <w:rsid w:val="00151C0A"/>
    <w:rsid w:val="0015225C"/>
    <w:rsid w:val="00161EDB"/>
    <w:rsid w:val="00175FD8"/>
    <w:rsid w:val="00176A6B"/>
    <w:rsid w:val="00191ADC"/>
    <w:rsid w:val="00197A6E"/>
    <w:rsid w:val="001A38D0"/>
    <w:rsid w:val="001A52A7"/>
    <w:rsid w:val="001A7F68"/>
    <w:rsid w:val="001B1694"/>
    <w:rsid w:val="001B2792"/>
    <w:rsid w:val="001B6874"/>
    <w:rsid w:val="001C0E14"/>
    <w:rsid w:val="001C0EC8"/>
    <w:rsid w:val="001D3CD4"/>
    <w:rsid w:val="001D589B"/>
    <w:rsid w:val="001D5D82"/>
    <w:rsid w:val="001D610B"/>
    <w:rsid w:val="001D73C1"/>
    <w:rsid w:val="001E0F67"/>
    <w:rsid w:val="001E196D"/>
    <w:rsid w:val="001E2CD1"/>
    <w:rsid w:val="001E54DD"/>
    <w:rsid w:val="001E72F1"/>
    <w:rsid w:val="001E7E00"/>
    <w:rsid w:val="001F0FAC"/>
    <w:rsid w:val="001F750E"/>
    <w:rsid w:val="00213316"/>
    <w:rsid w:val="00215570"/>
    <w:rsid w:val="00222505"/>
    <w:rsid w:val="002348EB"/>
    <w:rsid w:val="00260329"/>
    <w:rsid w:val="00261178"/>
    <w:rsid w:val="00263057"/>
    <w:rsid w:val="00276D78"/>
    <w:rsid w:val="002977FB"/>
    <w:rsid w:val="002B02A3"/>
    <w:rsid w:val="002B5A0C"/>
    <w:rsid w:val="002B5B42"/>
    <w:rsid w:val="002D02DA"/>
    <w:rsid w:val="002E1984"/>
    <w:rsid w:val="002E5755"/>
    <w:rsid w:val="002F3B5B"/>
    <w:rsid w:val="002F502D"/>
    <w:rsid w:val="00305A21"/>
    <w:rsid w:val="00310A76"/>
    <w:rsid w:val="00313AE9"/>
    <w:rsid w:val="00314F71"/>
    <w:rsid w:val="003205F6"/>
    <w:rsid w:val="0032264E"/>
    <w:rsid w:val="00322CBC"/>
    <w:rsid w:val="00324DA6"/>
    <w:rsid w:val="00330334"/>
    <w:rsid w:val="0033532A"/>
    <w:rsid w:val="003359CE"/>
    <w:rsid w:val="00351D20"/>
    <w:rsid w:val="003526E4"/>
    <w:rsid w:val="00361B7C"/>
    <w:rsid w:val="00362F81"/>
    <w:rsid w:val="00366333"/>
    <w:rsid w:val="00367FE6"/>
    <w:rsid w:val="00376449"/>
    <w:rsid w:val="003816B0"/>
    <w:rsid w:val="003822E3"/>
    <w:rsid w:val="00385056"/>
    <w:rsid w:val="00391884"/>
    <w:rsid w:val="003A5465"/>
    <w:rsid w:val="003A7850"/>
    <w:rsid w:val="003B0CD4"/>
    <w:rsid w:val="003C2126"/>
    <w:rsid w:val="003C2698"/>
    <w:rsid w:val="003C39D6"/>
    <w:rsid w:val="003C79C6"/>
    <w:rsid w:val="003E6D68"/>
    <w:rsid w:val="003F3DC1"/>
    <w:rsid w:val="003F452F"/>
    <w:rsid w:val="003F57BE"/>
    <w:rsid w:val="004003B1"/>
    <w:rsid w:val="00406284"/>
    <w:rsid w:val="00406B6E"/>
    <w:rsid w:val="00414CAC"/>
    <w:rsid w:val="00424E11"/>
    <w:rsid w:val="00435AB9"/>
    <w:rsid w:val="00441DEC"/>
    <w:rsid w:val="004518E5"/>
    <w:rsid w:val="00454793"/>
    <w:rsid w:val="004558B8"/>
    <w:rsid w:val="00460A45"/>
    <w:rsid w:val="004618C7"/>
    <w:rsid w:val="00463286"/>
    <w:rsid w:val="004734A0"/>
    <w:rsid w:val="0047378E"/>
    <w:rsid w:val="004776AB"/>
    <w:rsid w:val="004902BE"/>
    <w:rsid w:val="004A0911"/>
    <w:rsid w:val="004A7B5C"/>
    <w:rsid w:val="004B20D0"/>
    <w:rsid w:val="004C010D"/>
    <w:rsid w:val="004D3778"/>
    <w:rsid w:val="004E2B61"/>
    <w:rsid w:val="004E6F06"/>
    <w:rsid w:val="004F3D8E"/>
    <w:rsid w:val="004F3E35"/>
    <w:rsid w:val="004F3F03"/>
    <w:rsid w:val="004F4AA7"/>
    <w:rsid w:val="005005F9"/>
    <w:rsid w:val="005035F0"/>
    <w:rsid w:val="0050551A"/>
    <w:rsid w:val="0051569D"/>
    <w:rsid w:val="0051587A"/>
    <w:rsid w:val="00522F63"/>
    <w:rsid w:val="005271DB"/>
    <w:rsid w:val="00527AB1"/>
    <w:rsid w:val="00530F92"/>
    <w:rsid w:val="00534B62"/>
    <w:rsid w:val="00537AEA"/>
    <w:rsid w:val="005410D8"/>
    <w:rsid w:val="00542772"/>
    <w:rsid w:val="00542FD9"/>
    <w:rsid w:val="00544C14"/>
    <w:rsid w:val="0055051B"/>
    <w:rsid w:val="005610D8"/>
    <w:rsid w:val="00561AAD"/>
    <w:rsid w:val="0056661F"/>
    <w:rsid w:val="00583C9C"/>
    <w:rsid w:val="00590034"/>
    <w:rsid w:val="00594A7A"/>
    <w:rsid w:val="005958FB"/>
    <w:rsid w:val="005A3AEF"/>
    <w:rsid w:val="005A5AD5"/>
    <w:rsid w:val="005B1C8F"/>
    <w:rsid w:val="005C1286"/>
    <w:rsid w:val="005C6410"/>
    <w:rsid w:val="005D0B18"/>
    <w:rsid w:val="005D3DFB"/>
    <w:rsid w:val="005D53A7"/>
    <w:rsid w:val="0060088D"/>
    <w:rsid w:val="00600E76"/>
    <w:rsid w:val="00604620"/>
    <w:rsid w:val="006113A8"/>
    <w:rsid w:val="00613233"/>
    <w:rsid w:val="00622671"/>
    <w:rsid w:val="00631439"/>
    <w:rsid w:val="006377CE"/>
    <w:rsid w:val="00645C47"/>
    <w:rsid w:val="006478D0"/>
    <w:rsid w:val="006649BD"/>
    <w:rsid w:val="00670194"/>
    <w:rsid w:val="00674143"/>
    <w:rsid w:val="00675991"/>
    <w:rsid w:val="00681384"/>
    <w:rsid w:val="00684ACE"/>
    <w:rsid w:val="0068629A"/>
    <w:rsid w:val="00686B34"/>
    <w:rsid w:val="00695443"/>
    <w:rsid w:val="0069788C"/>
    <w:rsid w:val="00697DFA"/>
    <w:rsid w:val="006A0052"/>
    <w:rsid w:val="006A1F20"/>
    <w:rsid w:val="006A4FE6"/>
    <w:rsid w:val="006B1B94"/>
    <w:rsid w:val="006B33D7"/>
    <w:rsid w:val="006D6498"/>
    <w:rsid w:val="00700188"/>
    <w:rsid w:val="0071039C"/>
    <w:rsid w:val="00714650"/>
    <w:rsid w:val="007150F4"/>
    <w:rsid w:val="00716F14"/>
    <w:rsid w:val="00720AA5"/>
    <w:rsid w:val="00722FD5"/>
    <w:rsid w:val="00734A37"/>
    <w:rsid w:val="00734D37"/>
    <w:rsid w:val="00736662"/>
    <w:rsid w:val="007413E7"/>
    <w:rsid w:val="00743C1B"/>
    <w:rsid w:val="00765820"/>
    <w:rsid w:val="0077217C"/>
    <w:rsid w:val="0077238B"/>
    <w:rsid w:val="00780157"/>
    <w:rsid w:val="00791951"/>
    <w:rsid w:val="00794050"/>
    <w:rsid w:val="00795493"/>
    <w:rsid w:val="007A0E66"/>
    <w:rsid w:val="007A2623"/>
    <w:rsid w:val="007A404E"/>
    <w:rsid w:val="007A441E"/>
    <w:rsid w:val="007B35A4"/>
    <w:rsid w:val="007B6BD8"/>
    <w:rsid w:val="007C6CE3"/>
    <w:rsid w:val="007D196A"/>
    <w:rsid w:val="007D5A5D"/>
    <w:rsid w:val="007E6EE4"/>
    <w:rsid w:val="007F2A01"/>
    <w:rsid w:val="007F447E"/>
    <w:rsid w:val="007F448B"/>
    <w:rsid w:val="0080088A"/>
    <w:rsid w:val="00803D56"/>
    <w:rsid w:val="00812A17"/>
    <w:rsid w:val="00815A26"/>
    <w:rsid w:val="00824DDD"/>
    <w:rsid w:val="0083044D"/>
    <w:rsid w:val="0083501B"/>
    <w:rsid w:val="008419DC"/>
    <w:rsid w:val="00844206"/>
    <w:rsid w:val="008467C2"/>
    <w:rsid w:val="00852DBD"/>
    <w:rsid w:val="00854E81"/>
    <w:rsid w:val="0085549A"/>
    <w:rsid w:val="00855602"/>
    <w:rsid w:val="008569CD"/>
    <w:rsid w:val="008627B3"/>
    <w:rsid w:val="00862D95"/>
    <w:rsid w:val="00863BF5"/>
    <w:rsid w:val="008643F6"/>
    <w:rsid w:val="00866360"/>
    <w:rsid w:val="008741DB"/>
    <w:rsid w:val="008809C3"/>
    <w:rsid w:val="008824CA"/>
    <w:rsid w:val="0088599E"/>
    <w:rsid w:val="00890E72"/>
    <w:rsid w:val="008C551C"/>
    <w:rsid w:val="008D23D2"/>
    <w:rsid w:val="008D274E"/>
    <w:rsid w:val="008D2D6A"/>
    <w:rsid w:val="008D482E"/>
    <w:rsid w:val="00905E84"/>
    <w:rsid w:val="00910150"/>
    <w:rsid w:val="009214B7"/>
    <w:rsid w:val="00923E6A"/>
    <w:rsid w:val="0093199A"/>
    <w:rsid w:val="00932169"/>
    <w:rsid w:val="009359B4"/>
    <w:rsid w:val="00941662"/>
    <w:rsid w:val="00945099"/>
    <w:rsid w:val="00945CC4"/>
    <w:rsid w:val="00952ED2"/>
    <w:rsid w:val="00957F00"/>
    <w:rsid w:val="00960EDF"/>
    <w:rsid w:val="00965684"/>
    <w:rsid w:val="00967CB4"/>
    <w:rsid w:val="00971EA6"/>
    <w:rsid w:val="00973B36"/>
    <w:rsid w:val="00973C73"/>
    <w:rsid w:val="0098001E"/>
    <w:rsid w:val="009801C2"/>
    <w:rsid w:val="00981C16"/>
    <w:rsid w:val="00993BF9"/>
    <w:rsid w:val="009A3418"/>
    <w:rsid w:val="009A66B7"/>
    <w:rsid w:val="009B0F9E"/>
    <w:rsid w:val="009C2331"/>
    <w:rsid w:val="009C26A5"/>
    <w:rsid w:val="009C7B96"/>
    <w:rsid w:val="009C7E89"/>
    <w:rsid w:val="009D2881"/>
    <w:rsid w:val="009D4EF7"/>
    <w:rsid w:val="009E3381"/>
    <w:rsid w:val="00A0502C"/>
    <w:rsid w:val="00A05E79"/>
    <w:rsid w:val="00A10647"/>
    <w:rsid w:val="00A116A1"/>
    <w:rsid w:val="00A11DD3"/>
    <w:rsid w:val="00A17065"/>
    <w:rsid w:val="00A30D73"/>
    <w:rsid w:val="00A640A2"/>
    <w:rsid w:val="00A73E83"/>
    <w:rsid w:val="00A74506"/>
    <w:rsid w:val="00A7691F"/>
    <w:rsid w:val="00A83A38"/>
    <w:rsid w:val="00A91D23"/>
    <w:rsid w:val="00A92460"/>
    <w:rsid w:val="00A9333C"/>
    <w:rsid w:val="00A9657A"/>
    <w:rsid w:val="00AA3868"/>
    <w:rsid w:val="00AB3CAA"/>
    <w:rsid w:val="00AD1CA8"/>
    <w:rsid w:val="00AE3499"/>
    <w:rsid w:val="00AE3A65"/>
    <w:rsid w:val="00AE6583"/>
    <w:rsid w:val="00AE6BF1"/>
    <w:rsid w:val="00AE7CC3"/>
    <w:rsid w:val="00B04A83"/>
    <w:rsid w:val="00B05A36"/>
    <w:rsid w:val="00B061CB"/>
    <w:rsid w:val="00B0766D"/>
    <w:rsid w:val="00B1455D"/>
    <w:rsid w:val="00B22B9C"/>
    <w:rsid w:val="00B261D1"/>
    <w:rsid w:val="00B33BAE"/>
    <w:rsid w:val="00B36065"/>
    <w:rsid w:val="00B36605"/>
    <w:rsid w:val="00B528ED"/>
    <w:rsid w:val="00B54D4D"/>
    <w:rsid w:val="00B600F0"/>
    <w:rsid w:val="00B6307B"/>
    <w:rsid w:val="00B65212"/>
    <w:rsid w:val="00B6588D"/>
    <w:rsid w:val="00B74C98"/>
    <w:rsid w:val="00B75892"/>
    <w:rsid w:val="00B82F2B"/>
    <w:rsid w:val="00B84480"/>
    <w:rsid w:val="00B86E39"/>
    <w:rsid w:val="00B93444"/>
    <w:rsid w:val="00B962F9"/>
    <w:rsid w:val="00BA0B05"/>
    <w:rsid w:val="00BA6C69"/>
    <w:rsid w:val="00BB051F"/>
    <w:rsid w:val="00BB74FF"/>
    <w:rsid w:val="00BC77B0"/>
    <w:rsid w:val="00BD3701"/>
    <w:rsid w:val="00BF27F0"/>
    <w:rsid w:val="00BF3F13"/>
    <w:rsid w:val="00C05B84"/>
    <w:rsid w:val="00C07B20"/>
    <w:rsid w:val="00C144B7"/>
    <w:rsid w:val="00C144D9"/>
    <w:rsid w:val="00C24D8F"/>
    <w:rsid w:val="00C30F00"/>
    <w:rsid w:val="00C341BE"/>
    <w:rsid w:val="00C41741"/>
    <w:rsid w:val="00C454B7"/>
    <w:rsid w:val="00C5170E"/>
    <w:rsid w:val="00C53A2C"/>
    <w:rsid w:val="00C776C9"/>
    <w:rsid w:val="00C833FC"/>
    <w:rsid w:val="00C93DE3"/>
    <w:rsid w:val="00C945D7"/>
    <w:rsid w:val="00CA1500"/>
    <w:rsid w:val="00CA6EDB"/>
    <w:rsid w:val="00CB137C"/>
    <w:rsid w:val="00CB1F64"/>
    <w:rsid w:val="00CB4443"/>
    <w:rsid w:val="00CB4F2C"/>
    <w:rsid w:val="00CB556F"/>
    <w:rsid w:val="00CB5D44"/>
    <w:rsid w:val="00CC45C1"/>
    <w:rsid w:val="00CC6865"/>
    <w:rsid w:val="00CD1624"/>
    <w:rsid w:val="00CD441C"/>
    <w:rsid w:val="00CD582A"/>
    <w:rsid w:val="00CD6261"/>
    <w:rsid w:val="00CE2708"/>
    <w:rsid w:val="00CE47D3"/>
    <w:rsid w:val="00CE608D"/>
    <w:rsid w:val="00D01551"/>
    <w:rsid w:val="00D0322C"/>
    <w:rsid w:val="00D13C9E"/>
    <w:rsid w:val="00D2039A"/>
    <w:rsid w:val="00D20880"/>
    <w:rsid w:val="00D35946"/>
    <w:rsid w:val="00D36E57"/>
    <w:rsid w:val="00D427FE"/>
    <w:rsid w:val="00D46E50"/>
    <w:rsid w:val="00D52B06"/>
    <w:rsid w:val="00D5591B"/>
    <w:rsid w:val="00D572F3"/>
    <w:rsid w:val="00D70B29"/>
    <w:rsid w:val="00D7105F"/>
    <w:rsid w:val="00D9301C"/>
    <w:rsid w:val="00D95DFB"/>
    <w:rsid w:val="00D965EA"/>
    <w:rsid w:val="00D96CBD"/>
    <w:rsid w:val="00D973DB"/>
    <w:rsid w:val="00D97502"/>
    <w:rsid w:val="00DA05EE"/>
    <w:rsid w:val="00DA65F7"/>
    <w:rsid w:val="00DD4BB7"/>
    <w:rsid w:val="00DE02B7"/>
    <w:rsid w:val="00DE4000"/>
    <w:rsid w:val="00E1392E"/>
    <w:rsid w:val="00E212A3"/>
    <w:rsid w:val="00E21AAF"/>
    <w:rsid w:val="00E371FB"/>
    <w:rsid w:val="00E374E4"/>
    <w:rsid w:val="00E52F30"/>
    <w:rsid w:val="00E53462"/>
    <w:rsid w:val="00E55A2F"/>
    <w:rsid w:val="00E62C64"/>
    <w:rsid w:val="00E63108"/>
    <w:rsid w:val="00E734C7"/>
    <w:rsid w:val="00E77276"/>
    <w:rsid w:val="00E84FDC"/>
    <w:rsid w:val="00E906DC"/>
    <w:rsid w:val="00E93180"/>
    <w:rsid w:val="00E93638"/>
    <w:rsid w:val="00E9430C"/>
    <w:rsid w:val="00EA5CB2"/>
    <w:rsid w:val="00EA69F4"/>
    <w:rsid w:val="00EC2C8F"/>
    <w:rsid w:val="00ED02EC"/>
    <w:rsid w:val="00ED1374"/>
    <w:rsid w:val="00ED184E"/>
    <w:rsid w:val="00ED19D8"/>
    <w:rsid w:val="00ED207C"/>
    <w:rsid w:val="00ED6897"/>
    <w:rsid w:val="00EE0100"/>
    <w:rsid w:val="00EE23DF"/>
    <w:rsid w:val="00EF3152"/>
    <w:rsid w:val="00EF3CCE"/>
    <w:rsid w:val="00EF69B5"/>
    <w:rsid w:val="00F010DF"/>
    <w:rsid w:val="00F04CC8"/>
    <w:rsid w:val="00F07112"/>
    <w:rsid w:val="00F12E22"/>
    <w:rsid w:val="00F14EB9"/>
    <w:rsid w:val="00F20D28"/>
    <w:rsid w:val="00F314A6"/>
    <w:rsid w:val="00F31A84"/>
    <w:rsid w:val="00F31F78"/>
    <w:rsid w:val="00F35DF4"/>
    <w:rsid w:val="00F410A8"/>
    <w:rsid w:val="00F54639"/>
    <w:rsid w:val="00F57F38"/>
    <w:rsid w:val="00F6106E"/>
    <w:rsid w:val="00F649E6"/>
    <w:rsid w:val="00F70C42"/>
    <w:rsid w:val="00F74ABA"/>
    <w:rsid w:val="00F77E1A"/>
    <w:rsid w:val="00F81D4A"/>
    <w:rsid w:val="00F84635"/>
    <w:rsid w:val="00F863DF"/>
    <w:rsid w:val="00FA24DC"/>
    <w:rsid w:val="00FA30DC"/>
    <w:rsid w:val="00FC6E7A"/>
    <w:rsid w:val="00FD4746"/>
    <w:rsid w:val="00FE2C3C"/>
    <w:rsid w:val="00FE5F45"/>
    <w:rsid w:val="00FF54A9"/>
    <w:rsid w:val="00FF740C"/>
    <w:rsid w:val="0598C42B"/>
    <w:rsid w:val="0DEE29D4"/>
    <w:rsid w:val="109454D4"/>
    <w:rsid w:val="11441289"/>
    <w:rsid w:val="15E3BA18"/>
    <w:rsid w:val="15EC242F"/>
    <w:rsid w:val="1B368405"/>
    <w:rsid w:val="1CC4707F"/>
    <w:rsid w:val="22A63218"/>
    <w:rsid w:val="24C46B05"/>
    <w:rsid w:val="27CCBE47"/>
    <w:rsid w:val="2A779ACB"/>
    <w:rsid w:val="3098D575"/>
    <w:rsid w:val="32698453"/>
    <w:rsid w:val="373CF576"/>
    <w:rsid w:val="37983C21"/>
    <w:rsid w:val="37D0B373"/>
    <w:rsid w:val="3A5F3A61"/>
    <w:rsid w:val="3BE61825"/>
    <w:rsid w:val="3E870844"/>
    <w:rsid w:val="3F0B6208"/>
    <w:rsid w:val="415E2FE5"/>
    <w:rsid w:val="44CC4132"/>
    <w:rsid w:val="47C4C649"/>
    <w:rsid w:val="48115040"/>
    <w:rsid w:val="48907E7A"/>
    <w:rsid w:val="4A0B0447"/>
    <w:rsid w:val="4AC6C74C"/>
    <w:rsid w:val="4C6297AD"/>
    <w:rsid w:val="54C4211B"/>
    <w:rsid w:val="5546E0AF"/>
    <w:rsid w:val="5D7DEAED"/>
    <w:rsid w:val="5E802755"/>
    <w:rsid w:val="5EBB06AA"/>
    <w:rsid w:val="5F0213B0"/>
    <w:rsid w:val="65F89A8B"/>
    <w:rsid w:val="679A5A31"/>
    <w:rsid w:val="6A18EFA6"/>
    <w:rsid w:val="6B71518D"/>
    <w:rsid w:val="6D423ECC"/>
    <w:rsid w:val="6DF07358"/>
    <w:rsid w:val="73CF3B39"/>
    <w:rsid w:val="74389E22"/>
    <w:rsid w:val="757C7942"/>
    <w:rsid w:val="771849A3"/>
    <w:rsid w:val="79CC1937"/>
    <w:rsid w:val="7F6740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8EEAB0C7-1B50-4C3E-8C23-0E47382D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customStyle="1" w:styleId="TableParagraph">
    <w:name w:val="Table Paragraph"/>
    <w:basedOn w:val="Normal"/>
    <w:uiPriority w:val="1"/>
    <w:qFormat/>
    <w:rsid w:val="00DA65F7"/>
    <w:pPr>
      <w:widowControl w:val="0"/>
      <w:spacing w:after="0" w:line="240" w:lineRule="auto"/>
    </w:pPr>
    <w:rPr>
      <w:rFonts w:ascii="Calibri" w:hAnsi="Calibri"/>
      <w:color w:val="auto"/>
      <w:sz w:val="22"/>
      <w:lang w:val="en-US"/>
    </w:rPr>
  </w:style>
  <w:style w:type="table" w:customStyle="1" w:styleId="TableGrid1">
    <w:name w:val="Table Grid1"/>
    <w:basedOn w:val="TableNormal"/>
    <w:next w:val="TableGrid"/>
    <w:uiPriority w:val="39"/>
    <w:rsid w:val="00DA65F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59CE"/>
    <w:pPr>
      <w:spacing w:after="0" w:line="240" w:lineRule="auto"/>
    </w:pPr>
    <w:rPr>
      <w:rFonts w:ascii="Arial" w:hAnsi="Arial"/>
      <w:color w:val="222A35" w:themeColor="text2" w:themeShade="80"/>
      <w:sz w:val="24"/>
    </w:rPr>
  </w:style>
  <w:style w:type="character" w:customStyle="1" w:styleId="cf01">
    <w:name w:val="cf01"/>
    <w:basedOn w:val="DefaultParagraphFont"/>
    <w:rsid w:val="00720AA5"/>
    <w:rPr>
      <w:rFonts w:ascii="Segoe UI" w:hAnsi="Segoe UI" w:cs="Segoe UI" w:hint="default"/>
      <w:color w:val="222A35"/>
      <w:sz w:val="18"/>
      <w:szCs w:val="18"/>
    </w:rPr>
  </w:style>
  <w:style w:type="character" w:customStyle="1" w:styleId="normaltextrun">
    <w:name w:val="normaltextrun"/>
    <w:basedOn w:val="DefaultParagraphFont"/>
    <w:rsid w:val="00A9657A"/>
  </w:style>
  <w:style w:type="character" w:customStyle="1" w:styleId="scxw156728436">
    <w:name w:val="scxw156728436"/>
    <w:basedOn w:val="DefaultParagraphFont"/>
    <w:rsid w:val="00A9657A"/>
  </w:style>
  <w:style w:type="character" w:customStyle="1" w:styleId="eop">
    <w:name w:val="eop"/>
    <w:basedOn w:val="DefaultParagraphFont"/>
    <w:rsid w:val="00A96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1659">
      <w:bodyDiv w:val="1"/>
      <w:marLeft w:val="0"/>
      <w:marRight w:val="0"/>
      <w:marTop w:val="0"/>
      <w:marBottom w:val="0"/>
      <w:divBdr>
        <w:top w:val="none" w:sz="0" w:space="0" w:color="auto"/>
        <w:left w:val="none" w:sz="0" w:space="0" w:color="auto"/>
        <w:bottom w:val="none" w:sz="0" w:space="0" w:color="auto"/>
        <w:right w:val="none" w:sz="0" w:space="0" w:color="auto"/>
      </w:divBdr>
      <w:divsChild>
        <w:div w:id="221017072">
          <w:marLeft w:val="0"/>
          <w:marRight w:val="0"/>
          <w:marTop w:val="0"/>
          <w:marBottom w:val="0"/>
          <w:divBdr>
            <w:top w:val="none" w:sz="0" w:space="0" w:color="auto"/>
            <w:left w:val="none" w:sz="0" w:space="0" w:color="auto"/>
            <w:bottom w:val="none" w:sz="0" w:space="0" w:color="auto"/>
            <w:right w:val="none" w:sz="0" w:space="0" w:color="auto"/>
          </w:divBdr>
        </w:div>
        <w:div w:id="460222088">
          <w:marLeft w:val="0"/>
          <w:marRight w:val="0"/>
          <w:marTop w:val="0"/>
          <w:marBottom w:val="0"/>
          <w:divBdr>
            <w:top w:val="none" w:sz="0" w:space="0" w:color="auto"/>
            <w:left w:val="none" w:sz="0" w:space="0" w:color="auto"/>
            <w:bottom w:val="none" w:sz="0" w:space="0" w:color="auto"/>
            <w:right w:val="none" w:sz="0" w:space="0" w:color="auto"/>
          </w:divBdr>
        </w:div>
        <w:div w:id="629556601">
          <w:marLeft w:val="0"/>
          <w:marRight w:val="0"/>
          <w:marTop w:val="0"/>
          <w:marBottom w:val="0"/>
          <w:divBdr>
            <w:top w:val="none" w:sz="0" w:space="0" w:color="auto"/>
            <w:left w:val="none" w:sz="0" w:space="0" w:color="auto"/>
            <w:bottom w:val="none" w:sz="0" w:space="0" w:color="auto"/>
            <w:right w:val="none" w:sz="0" w:space="0" w:color="auto"/>
          </w:divBdr>
        </w:div>
        <w:div w:id="663168458">
          <w:marLeft w:val="0"/>
          <w:marRight w:val="0"/>
          <w:marTop w:val="0"/>
          <w:marBottom w:val="0"/>
          <w:divBdr>
            <w:top w:val="none" w:sz="0" w:space="0" w:color="auto"/>
            <w:left w:val="none" w:sz="0" w:space="0" w:color="auto"/>
            <w:bottom w:val="none" w:sz="0" w:space="0" w:color="auto"/>
            <w:right w:val="none" w:sz="0" w:space="0" w:color="auto"/>
          </w:divBdr>
        </w:div>
        <w:div w:id="723334477">
          <w:marLeft w:val="0"/>
          <w:marRight w:val="0"/>
          <w:marTop w:val="0"/>
          <w:marBottom w:val="0"/>
          <w:divBdr>
            <w:top w:val="none" w:sz="0" w:space="0" w:color="auto"/>
            <w:left w:val="none" w:sz="0" w:space="0" w:color="auto"/>
            <w:bottom w:val="none" w:sz="0" w:space="0" w:color="auto"/>
            <w:right w:val="none" w:sz="0" w:space="0" w:color="auto"/>
          </w:divBdr>
        </w:div>
        <w:div w:id="784078763">
          <w:marLeft w:val="0"/>
          <w:marRight w:val="0"/>
          <w:marTop w:val="0"/>
          <w:marBottom w:val="0"/>
          <w:divBdr>
            <w:top w:val="none" w:sz="0" w:space="0" w:color="auto"/>
            <w:left w:val="none" w:sz="0" w:space="0" w:color="auto"/>
            <w:bottom w:val="none" w:sz="0" w:space="0" w:color="auto"/>
            <w:right w:val="none" w:sz="0" w:space="0" w:color="auto"/>
          </w:divBdr>
          <w:divsChild>
            <w:div w:id="4985378">
              <w:marLeft w:val="-75"/>
              <w:marRight w:val="0"/>
              <w:marTop w:val="30"/>
              <w:marBottom w:val="30"/>
              <w:divBdr>
                <w:top w:val="none" w:sz="0" w:space="0" w:color="auto"/>
                <w:left w:val="none" w:sz="0" w:space="0" w:color="auto"/>
                <w:bottom w:val="none" w:sz="0" w:space="0" w:color="auto"/>
                <w:right w:val="none" w:sz="0" w:space="0" w:color="auto"/>
              </w:divBdr>
              <w:divsChild>
                <w:div w:id="84151260">
                  <w:marLeft w:val="0"/>
                  <w:marRight w:val="0"/>
                  <w:marTop w:val="0"/>
                  <w:marBottom w:val="0"/>
                  <w:divBdr>
                    <w:top w:val="none" w:sz="0" w:space="0" w:color="auto"/>
                    <w:left w:val="none" w:sz="0" w:space="0" w:color="auto"/>
                    <w:bottom w:val="none" w:sz="0" w:space="0" w:color="auto"/>
                    <w:right w:val="none" w:sz="0" w:space="0" w:color="auto"/>
                  </w:divBdr>
                  <w:divsChild>
                    <w:div w:id="1569615049">
                      <w:marLeft w:val="0"/>
                      <w:marRight w:val="0"/>
                      <w:marTop w:val="0"/>
                      <w:marBottom w:val="0"/>
                      <w:divBdr>
                        <w:top w:val="none" w:sz="0" w:space="0" w:color="auto"/>
                        <w:left w:val="none" w:sz="0" w:space="0" w:color="auto"/>
                        <w:bottom w:val="none" w:sz="0" w:space="0" w:color="auto"/>
                        <w:right w:val="none" w:sz="0" w:space="0" w:color="auto"/>
                      </w:divBdr>
                    </w:div>
                  </w:divsChild>
                </w:div>
                <w:div w:id="647440230">
                  <w:marLeft w:val="0"/>
                  <w:marRight w:val="0"/>
                  <w:marTop w:val="0"/>
                  <w:marBottom w:val="0"/>
                  <w:divBdr>
                    <w:top w:val="none" w:sz="0" w:space="0" w:color="auto"/>
                    <w:left w:val="none" w:sz="0" w:space="0" w:color="auto"/>
                    <w:bottom w:val="none" w:sz="0" w:space="0" w:color="auto"/>
                    <w:right w:val="none" w:sz="0" w:space="0" w:color="auto"/>
                  </w:divBdr>
                  <w:divsChild>
                    <w:div w:id="738289809">
                      <w:marLeft w:val="0"/>
                      <w:marRight w:val="0"/>
                      <w:marTop w:val="0"/>
                      <w:marBottom w:val="0"/>
                      <w:divBdr>
                        <w:top w:val="none" w:sz="0" w:space="0" w:color="auto"/>
                        <w:left w:val="none" w:sz="0" w:space="0" w:color="auto"/>
                        <w:bottom w:val="none" w:sz="0" w:space="0" w:color="auto"/>
                        <w:right w:val="none" w:sz="0" w:space="0" w:color="auto"/>
                      </w:divBdr>
                    </w:div>
                  </w:divsChild>
                </w:div>
                <w:div w:id="650983019">
                  <w:marLeft w:val="0"/>
                  <w:marRight w:val="0"/>
                  <w:marTop w:val="0"/>
                  <w:marBottom w:val="0"/>
                  <w:divBdr>
                    <w:top w:val="none" w:sz="0" w:space="0" w:color="auto"/>
                    <w:left w:val="none" w:sz="0" w:space="0" w:color="auto"/>
                    <w:bottom w:val="none" w:sz="0" w:space="0" w:color="auto"/>
                    <w:right w:val="none" w:sz="0" w:space="0" w:color="auto"/>
                  </w:divBdr>
                  <w:divsChild>
                    <w:div w:id="1381514759">
                      <w:marLeft w:val="0"/>
                      <w:marRight w:val="0"/>
                      <w:marTop w:val="0"/>
                      <w:marBottom w:val="0"/>
                      <w:divBdr>
                        <w:top w:val="none" w:sz="0" w:space="0" w:color="auto"/>
                        <w:left w:val="none" w:sz="0" w:space="0" w:color="auto"/>
                        <w:bottom w:val="none" w:sz="0" w:space="0" w:color="auto"/>
                        <w:right w:val="none" w:sz="0" w:space="0" w:color="auto"/>
                      </w:divBdr>
                    </w:div>
                  </w:divsChild>
                </w:div>
                <w:div w:id="759257904">
                  <w:marLeft w:val="0"/>
                  <w:marRight w:val="0"/>
                  <w:marTop w:val="0"/>
                  <w:marBottom w:val="0"/>
                  <w:divBdr>
                    <w:top w:val="none" w:sz="0" w:space="0" w:color="auto"/>
                    <w:left w:val="none" w:sz="0" w:space="0" w:color="auto"/>
                    <w:bottom w:val="none" w:sz="0" w:space="0" w:color="auto"/>
                    <w:right w:val="none" w:sz="0" w:space="0" w:color="auto"/>
                  </w:divBdr>
                  <w:divsChild>
                    <w:div w:id="577521250">
                      <w:marLeft w:val="0"/>
                      <w:marRight w:val="0"/>
                      <w:marTop w:val="0"/>
                      <w:marBottom w:val="0"/>
                      <w:divBdr>
                        <w:top w:val="none" w:sz="0" w:space="0" w:color="auto"/>
                        <w:left w:val="none" w:sz="0" w:space="0" w:color="auto"/>
                        <w:bottom w:val="none" w:sz="0" w:space="0" w:color="auto"/>
                        <w:right w:val="none" w:sz="0" w:space="0" w:color="auto"/>
                      </w:divBdr>
                    </w:div>
                  </w:divsChild>
                </w:div>
                <w:div w:id="1293902690">
                  <w:marLeft w:val="0"/>
                  <w:marRight w:val="0"/>
                  <w:marTop w:val="0"/>
                  <w:marBottom w:val="0"/>
                  <w:divBdr>
                    <w:top w:val="none" w:sz="0" w:space="0" w:color="auto"/>
                    <w:left w:val="none" w:sz="0" w:space="0" w:color="auto"/>
                    <w:bottom w:val="none" w:sz="0" w:space="0" w:color="auto"/>
                    <w:right w:val="none" w:sz="0" w:space="0" w:color="auto"/>
                  </w:divBdr>
                  <w:divsChild>
                    <w:div w:id="207185946">
                      <w:marLeft w:val="0"/>
                      <w:marRight w:val="0"/>
                      <w:marTop w:val="0"/>
                      <w:marBottom w:val="0"/>
                      <w:divBdr>
                        <w:top w:val="none" w:sz="0" w:space="0" w:color="auto"/>
                        <w:left w:val="none" w:sz="0" w:space="0" w:color="auto"/>
                        <w:bottom w:val="none" w:sz="0" w:space="0" w:color="auto"/>
                        <w:right w:val="none" w:sz="0" w:space="0" w:color="auto"/>
                      </w:divBdr>
                    </w:div>
                  </w:divsChild>
                </w:div>
                <w:div w:id="1521237526">
                  <w:marLeft w:val="0"/>
                  <w:marRight w:val="0"/>
                  <w:marTop w:val="0"/>
                  <w:marBottom w:val="0"/>
                  <w:divBdr>
                    <w:top w:val="none" w:sz="0" w:space="0" w:color="auto"/>
                    <w:left w:val="none" w:sz="0" w:space="0" w:color="auto"/>
                    <w:bottom w:val="none" w:sz="0" w:space="0" w:color="auto"/>
                    <w:right w:val="none" w:sz="0" w:space="0" w:color="auto"/>
                  </w:divBdr>
                  <w:divsChild>
                    <w:div w:id="94248758">
                      <w:marLeft w:val="0"/>
                      <w:marRight w:val="0"/>
                      <w:marTop w:val="0"/>
                      <w:marBottom w:val="0"/>
                      <w:divBdr>
                        <w:top w:val="none" w:sz="0" w:space="0" w:color="auto"/>
                        <w:left w:val="none" w:sz="0" w:space="0" w:color="auto"/>
                        <w:bottom w:val="none" w:sz="0" w:space="0" w:color="auto"/>
                        <w:right w:val="none" w:sz="0" w:space="0" w:color="auto"/>
                      </w:divBdr>
                    </w:div>
                  </w:divsChild>
                </w:div>
                <w:div w:id="1879928363">
                  <w:marLeft w:val="0"/>
                  <w:marRight w:val="0"/>
                  <w:marTop w:val="0"/>
                  <w:marBottom w:val="0"/>
                  <w:divBdr>
                    <w:top w:val="none" w:sz="0" w:space="0" w:color="auto"/>
                    <w:left w:val="none" w:sz="0" w:space="0" w:color="auto"/>
                    <w:bottom w:val="none" w:sz="0" w:space="0" w:color="auto"/>
                    <w:right w:val="none" w:sz="0" w:space="0" w:color="auto"/>
                  </w:divBdr>
                  <w:divsChild>
                    <w:div w:id="1160317175">
                      <w:marLeft w:val="0"/>
                      <w:marRight w:val="0"/>
                      <w:marTop w:val="0"/>
                      <w:marBottom w:val="0"/>
                      <w:divBdr>
                        <w:top w:val="none" w:sz="0" w:space="0" w:color="auto"/>
                        <w:left w:val="none" w:sz="0" w:space="0" w:color="auto"/>
                        <w:bottom w:val="none" w:sz="0" w:space="0" w:color="auto"/>
                        <w:right w:val="none" w:sz="0" w:space="0" w:color="auto"/>
                      </w:divBdr>
                    </w:div>
                  </w:divsChild>
                </w:div>
                <w:div w:id="2011370239">
                  <w:marLeft w:val="0"/>
                  <w:marRight w:val="0"/>
                  <w:marTop w:val="0"/>
                  <w:marBottom w:val="0"/>
                  <w:divBdr>
                    <w:top w:val="none" w:sz="0" w:space="0" w:color="auto"/>
                    <w:left w:val="none" w:sz="0" w:space="0" w:color="auto"/>
                    <w:bottom w:val="none" w:sz="0" w:space="0" w:color="auto"/>
                    <w:right w:val="none" w:sz="0" w:space="0" w:color="auto"/>
                  </w:divBdr>
                  <w:divsChild>
                    <w:div w:id="2023779936">
                      <w:marLeft w:val="0"/>
                      <w:marRight w:val="0"/>
                      <w:marTop w:val="0"/>
                      <w:marBottom w:val="0"/>
                      <w:divBdr>
                        <w:top w:val="none" w:sz="0" w:space="0" w:color="auto"/>
                        <w:left w:val="none" w:sz="0" w:space="0" w:color="auto"/>
                        <w:bottom w:val="none" w:sz="0" w:space="0" w:color="auto"/>
                        <w:right w:val="none" w:sz="0" w:space="0" w:color="auto"/>
                      </w:divBdr>
                    </w:div>
                  </w:divsChild>
                </w:div>
                <w:div w:id="2014722215">
                  <w:marLeft w:val="0"/>
                  <w:marRight w:val="0"/>
                  <w:marTop w:val="0"/>
                  <w:marBottom w:val="0"/>
                  <w:divBdr>
                    <w:top w:val="none" w:sz="0" w:space="0" w:color="auto"/>
                    <w:left w:val="none" w:sz="0" w:space="0" w:color="auto"/>
                    <w:bottom w:val="none" w:sz="0" w:space="0" w:color="auto"/>
                    <w:right w:val="none" w:sz="0" w:space="0" w:color="auto"/>
                  </w:divBdr>
                  <w:divsChild>
                    <w:div w:id="1914243890">
                      <w:marLeft w:val="0"/>
                      <w:marRight w:val="0"/>
                      <w:marTop w:val="0"/>
                      <w:marBottom w:val="0"/>
                      <w:divBdr>
                        <w:top w:val="none" w:sz="0" w:space="0" w:color="auto"/>
                        <w:left w:val="none" w:sz="0" w:space="0" w:color="auto"/>
                        <w:bottom w:val="none" w:sz="0" w:space="0" w:color="auto"/>
                        <w:right w:val="none" w:sz="0" w:space="0" w:color="auto"/>
                      </w:divBdr>
                    </w:div>
                  </w:divsChild>
                </w:div>
                <w:div w:id="2116747385">
                  <w:marLeft w:val="0"/>
                  <w:marRight w:val="0"/>
                  <w:marTop w:val="0"/>
                  <w:marBottom w:val="0"/>
                  <w:divBdr>
                    <w:top w:val="none" w:sz="0" w:space="0" w:color="auto"/>
                    <w:left w:val="none" w:sz="0" w:space="0" w:color="auto"/>
                    <w:bottom w:val="none" w:sz="0" w:space="0" w:color="auto"/>
                    <w:right w:val="none" w:sz="0" w:space="0" w:color="auto"/>
                  </w:divBdr>
                  <w:divsChild>
                    <w:div w:id="17733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426781">
          <w:marLeft w:val="0"/>
          <w:marRight w:val="0"/>
          <w:marTop w:val="0"/>
          <w:marBottom w:val="0"/>
          <w:divBdr>
            <w:top w:val="none" w:sz="0" w:space="0" w:color="auto"/>
            <w:left w:val="none" w:sz="0" w:space="0" w:color="auto"/>
            <w:bottom w:val="none" w:sz="0" w:space="0" w:color="auto"/>
            <w:right w:val="none" w:sz="0" w:space="0" w:color="auto"/>
          </w:divBdr>
        </w:div>
        <w:div w:id="1014645384">
          <w:marLeft w:val="0"/>
          <w:marRight w:val="0"/>
          <w:marTop w:val="0"/>
          <w:marBottom w:val="0"/>
          <w:divBdr>
            <w:top w:val="none" w:sz="0" w:space="0" w:color="auto"/>
            <w:left w:val="none" w:sz="0" w:space="0" w:color="auto"/>
            <w:bottom w:val="none" w:sz="0" w:space="0" w:color="auto"/>
            <w:right w:val="none" w:sz="0" w:space="0" w:color="auto"/>
          </w:divBdr>
          <w:divsChild>
            <w:div w:id="9529633">
              <w:marLeft w:val="0"/>
              <w:marRight w:val="0"/>
              <w:marTop w:val="0"/>
              <w:marBottom w:val="0"/>
              <w:divBdr>
                <w:top w:val="none" w:sz="0" w:space="0" w:color="auto"/>
                <w:left w:val="none" w:sz="0" w:space="0" w:color="auto"/>
                <w:bottom w:val="none" w:sz="0" w:space="0" w:color="auto"/>
                <w:right w:val="none" w:sz="0" w:space="0" w:color="auto"/>
              </w:divBdr>
            </w:div>
            <w:div w:id="149294449">
              <w:marLeft w:val="0"/>
              <w:marRight w:val="0"/>
              <w:marTop w:val="0"/>
              <w:marBottom w:val="0"/>
              <w:divBdr>
                <w:top w:val="none" w:sz="0" w:space="0" w:color="auto"/>
                <w:left w:val="none" w:sz="0" w:space="0" w:color="auto"/>
                <w:bottom w:val="none" w:sz="0" w:space="0" w:color="auto"/>
                <w:right w:val="none" w:sz="0" w:space="0" w:color="auto"/>
              </w:divBdr>
            </w:div>
            <w:div w:id="193200965">
              <w:marLeft w:val="0"/>
              <w:marRight w:val="0"/>
              <w:marTop w:val="0"/>
              <w:marBottom w:val="0"/>
              <w:divBdr>
                <w:top w:val="none" w:sz="0" w:space="0" w:color="auto"/>
                <w:left w:val="none" w:sz="0" w:space="0" w:color="auto"/>
                <w:bottom w:val="none" w:sz="0" w:space="0" w:color="auto"/>
                <w:right w:val="none" w:sz="0" w:space="0" w:color="auto"/>
              </w:divBdr>
            </w:div>
            <w:div w:id="644552131">
              <w:marLeft w:val="0"/>
              <w:marRight w:val="0"/>
              <w:marTop w:val="0"/>
              <w:marBottom w:val="0"/>
              <w:divBdr>
                <w:top w:val="none" w:sz="0" w:space="0" w:color="auto"/>
                <w:left w:val="none" w:sz="0" w:space="0" w:color="auto"/>
                <w:bottom w:val="none" w:sz="0" w:space="0" w:color="auto"/>
                <w:right w:val="none" w:sz="0" w:space="0" w:color="auto"/>
              </w:divBdr>
            </w:div>
            <w:div w:id="1340742667">
              <w:marLeft w:val="0"/>
              <w:marRight w:val="0"/>
              <w:marTop w:val="0"/>
              <w:marBottom w:val="0"/>
              <w:divBdr>
                <w:top w:val="none" w:sz="0" w:space="0" w:color="auto"/>
                <w:left w:val="none" w:sz="0" w:space="0" w:color="auto"/>
                <w:bottom w:val="none" w:sz="0" w:space="0" w:color="auto"/>
                <w:right w:val="none" w:sz="0" w:space="0" w:color="auto"/>
              </w:divBdr>
            </w:div>
            <w:div w:id="1347370256">
              <w:marLeft w:val="0"/>
              <w:marRight w:val="0"/>
              <w:marTop w:val="0"/>
              <w:marBottom w:val="0"/>
              <w:divBdr>
                <w:top w:val="none" w:sz="0" w:space="0" w:color="auto"/>
                <w:left w:val="none" w:sz="0" w:space="0" w:color="auto"/>
                <w:bottom w:val="none" w:sz="0" w:space="0" w:color="auto"/>
                <w:right w:val="none" w:sz="0" w:space="0" w:color="auto"/>
              </w:divBdr>
            </w:div>
            <w:div w:id="1554388470">
              <w:marLeft w:val="0"/>
              <w:marRight w:val="0"/>
              <w:marTop w:val="0"/>
              <w:marBottom w:val="0"/>
              <w:divBdr>
                <w:top w:val="none" w:sz="0" w:space="0" w:color="auto"/>
                <w:left w:val="none" w:sz="0" w:space="0" w:color="auto"/>
                <w:bottom w:val="none" w:sz="0" w:space="0" w:color="auto"/>
                <w:right w:val="none" w:sz="0" w:space="0" w:color="auto"/>
              </w:divBdr>
            </w:div>
            <w:div w:id="1700156634">
              <w:marLeft w:val="0"/>
              <w:marRight w:val="0"/>
              <w:marTop w:val="0"/>
              <w:marBottom w:val="0"/>
              <w:divBdr>
                <w:top w:val="none" w:sz="0" w:space="0" w:color="auto"/>
                <w:left w:val="none" w:sz="0" w:space="0" w:color="auto"/>
                <w:bottom w:val="none" w:sz="0" w:space="0" w:color="auto"/>
                <w:right w:val="none" w:sz="0" w:space="0" w:color="auto"/>
              </w:divBdr>
            </w:div>
            <w:div w:id="1898738409">
              <w:marLeft w:val="0"/>
              <w:marRight w:val="0"/>
              <w:marTop w:val="0"/>
              <w:marBottom w:val="0"/>
              <w:divBdr>
                <w:top w:val="none" w:sz="0" w:space="0" w:color="auto"/>
                <w:left w:val="none" w:sz="0" w:space="0" w:color="auto"/>
                <w:bottom w:val="none" w:sz="0" w:space="0" w:color="auto"/>
                <w:right w:val="none" w:sz="0" w:space="0" w:color="auto"/>
              </w:divBdr>
            </w:div>
            <w:div w:id="1902327491">
              <w:marLeft w:val="0"/>
              <w:marRight w:val="0"/>
              <w:marTop w:val="0"/>
              <w:marBottom w:val="0"/>
              <w:divBdr>
                <w:top w:val="none" w:sz="0" w:space="0" w:color="auto"/>
                <w:left w:val="none" w:sz="0" w:space="0" w:color="auto"/>
                <w:bottom w:val="none" w:sz="0" w:space="0" w:color="auto"/>
                <w:right w:val="none" w:sz="0" w:space="0" w:color="auto"/>
              </w:divBdr>
            </w:div>
            <w:div w:id="2043937281">
              <w:marLeft w:val="0"/>
              <w:marRight w:val="0"/>
              <w:marTop w:val="0"/>
              <w:marBottom w:val="0"/>
              <w:divBdr>
                <w:top w:val="none" w:sz="0" w:space="0" w:color="auto"/>
                <w:left w:val="none" w:sz="0" w:space="0" w:color="auto"/>
                <w:bottom w:val="none" w:sz="0" w:space="0" w:color="auto"/>
                <w:right w:val="none" w:sz="0" w:space="0" w:color="auto"/>
              </w:divBdr>
            </w:div>
          </w:divsChild>
        </w:div>
        <w:div w:id="1100877592">
          <w:marLeft w:val="0"/>
          <w:marRight w:val="0"/>
          <w:marTop w:val="0"/>
          <w:marBottom w:val="0"/>
          <w:divBdr>
            <w:top w:val="none" w:sz="0" w:space="0" w:color="auto"/>
            <w:left w:val="none" w:sz="0" w:space="0" w:color="auto"/>
            <w:bottom w:val="none" w:sz="0" w:space="0" w:color="auto"/>
            <w:right w:val="none" w:sz="0" w:space="0" w:color="auto"/>
          </w:divBdr>
          <w:divsChild>
            <w:div w:id="1997801337">
              <w:marLeft w:val="-75"/>
              <w:marRight w:val="0"/>
              <w:marTop w:val="30"/>
              <w:marBottom w:val="30"/>
              <w:divBdr>
                <w:top w:val="none" w:sz="0" w:space="0" w:color="auto"/>
                <w:left w:val="none" w:sz="0" w:space="0" w:color="auto"/>
                <w:bottom w:val="none" w:sz="0" w:space="0" w:color="auto"/>
                <w:right w:val="none" w:sz="0" w:space="0" w:color="auto"/>
              </w:divBdr>
              <w:divsChild>
                <w:div w:id="210918697">
                  <w:marLeft w:val="0"/>
                  <w:marRight w:val="0"/>
                  <w:marTop w:val="0"/>
                  <w:marBottom w:val="0"/>
                  <w:divBdr>
                    <w:top w:val="none" w:sz="0" w:space="0" w:color="auto"/>
                    <w:left w:val="none" w:sz="0" w:space="0" w:color="auto"/>
                    <w:bottom w:val="none" w:sz="0" w:space="0" w:color="auto"/>
                    <w:right w:val="none" w:sz="0" w:space="0" w:color="auto"/>
                  </w:divBdr>
                  <w:divsChild>
                    <w:div w:id="1640374605">
                      <w:marLeft w:val="0"/>
                      <w:marRight w:val="0"/>
                      <w:marTop w:val="0"/>
                      <w:marBottom w:val="0"/>
                      <w:divBdr>
                        <w:top w:val="none" w:sz="0" w:space="0" w:color="auto"/>
                        <w:left w:val="none" w:sz="0" w:space="0" w:color="auto"/>
                        <w:bottom w:val="none" w:sz="0" w:space="0" w:color="auto"/>
                        <w:right w:val="none" w:sz="0" w:space="0" w:color="auto"/>
                      </w:divBdr>
                    </w:div>
                  </w:divsChild>
                </w:div>
                <w:div w:id="225728358">
                  <w:marLeft w:val="0"/>
                  <w:marRight w:val="0"/>
                  <w:marTop w:val="0"/>
                  <w:marBottom w:val="0"/>
                  <w:divBdr>
                    <w:top w:val="none" w:sz="0" w:space="0" w:color="auto"/>
                    <w:left w:val="none" w:sz="0" w:space="0" w:color="auto"/>
                    <w:bottom w:val="none" w:sz="0" w:space="0" w:color="auto"/>
                    <w:right w:val="none" w:sz="0" w:space="0" w:color="auto"/>
                  </w:divBdr>
                  <w:divsChild>
                    <w:div w:id="399447799">
                      <w:marLeft w:val="0"/>
                      <w:marRight w:val="0"/>
                      <w:marTop w:val="0"/>
                      <w:marBottom w:val="0"/>
                      <w:divBdr>
                        <w:top w:val="none" w:sz="0" w:space="0" w:color="auto"/>
                        <w:left w:val="none" w:sz="0" w:space="0" w:color="auto"/>
                        <w:bottom w:val="none" w:sz="0" w:space="0" w:color="auto"/>
                        <w:right w:val="none" w:sz="0" w:space="0" w:color="auto"/>
                      </w:divBdr>
                    </w:div>
                  </w:divsChild>
                </w:div>
                <w:div w:id="332418693">
                  <w:marLeft w:val="0"/>
                  <w:marRight w:val="0"/>
                  <w:marTop w:val="0"/>
                  <w:marBottom w:val="0"/>
                  <w:divBdr>
                    <w:top w:val="none" w:sz="0" w:space="0" w:color="auto"/>
                    <w:left w:val="none" w:sz="0" w:space="0" w:color="auto"/>
                    <w:bottom w:val="none" w:sz="0" w:space="0" w:color="auto"/>
                    <w:right w:val="none" w:sz="0" w:space="0" w:color="auto"/>
                  </w:divBdr>
                  <w:divsChild>
                    <w:div w:id="504636562">
                      <w:marLeft w:val="0"/>
                      <w:marRight w:val="0"/>
                      <w:marTop w:val="0"/>
                      <w:marBottom w:val="0"/>
                      <w:divBdr>
                        <w:top w:val="none" w:sz="0" w:space="0" w:color="auto"/>
                        <w:left w:val="none" w:sz="0" w:space="0" w:color="auto"/>
                        <w:bottom w:val="none" w:sz="0" w:space="0" w:color="auto"/>
                        <w:right w:val="none" w:sz="0" w:space="0" w:color="auto"/>
                      </w:divBdr>
                    </w:div>
                  </w:divsChild>
                </w:div>
                <w:div w:id="415172258">
                  <w:marLeft w:val="0"/>
                  <w:marRight w:val="0"/>
                  <w:marTop w:val="0"/>
                  <w:marBottom w:val="0"/>
                  <w:divBdr>
                    <w:top w:val="none" w:sz="0" w:space="0" w:color="auto"/>
                    <w:left w:val="none" w:sz="0" w:space="0" w:color="auto"/>
                    <w:bottom w:val="none" w:sz="0" w:space="0" w:color="auto"/>
                    <w:right w:val="none" w:sz="0" w:space="0" w:color="auto"/>
                  </w:divBdr>
                  <w:divsChild>
                    <w:div w:id="881212914">
                      <w:marLeft w:val="0"/>
                      <w:marRight w:val="0"/>
                      <w:marTop w:val="0"/>
                      <w:marBottom w:val="0"/>
                      <w:divBdr>
                        <w:top w:val="none" w:sz="0" w:space="0" w:color="auto"/>
                        <w:left w:val="none" w:sz="0" w:space="0" w:color="auto"/>
                        <w:bottom w:val="none" w:sz="0" w:space="0" w:color="auto"/>
                        <w:right w:val="none" w:sz="0" w:space="0" w:color="auto"/>
                      </w:divBdr>
                    </w:div>
                  </w:divsChild>
                </w:div>
                <w:div w:id="515969011">
                  <w:marLeft w:val="0"/>
                  <w:marRight w:val="0"/>
                  <w:marTop w:val="0"/>
                  <w:marBottom w:val="0"/>
                  <w:divBdr>
                    <w:top w:val="none" w:sz="0" w:space="0" w:color="auto"/>
                    <w:left w:val="none" w:sz="0" w:space="0" w:color="auto"/>
                    <w:bottom w:val="none" w:sz="0" w:space="0" w:color="auto"/>
                    <w:right w:val="none" w:sz="0" w:space="0" w:color="auto"/>
                  </w:divBdr>
                  <w:divsChild>
                    <w:div w:id="1279600670">
                      <w:marLeft w:val="0"/>
                      <w:marRight w:val="0"/>
                      <w:marTop w:val="0"/>
                      <w:marBottom w:val="0"/>
                      <w:divBdr>
                        <w:top w:val="none" w:sz="0" w:space="0" w:color="auto"/>
                        <w:left w:val="none" w:sz="0" w:space="0" w:color="auto"/>
                        <w:bottom w:val="none" w:sz="0" w:space="0" w:color="auto"/>
                        <w:right w:val="none" w:sz="0" w:space="0" w:color="auto"/>
                      </w:divBdr>
                    </w:div>
                  </w:divsChild>
                </w:div>
                <w:div w:id="581837051">
                  <w:marLeft w:val="0"/>
                  <w:marRight w:val="0"/>
                  <w:marTop w:val="0"/>
                  <w:marBottom w:val="0"/>
                  <w:divBdr>
                    <w:top w:val="none" w:sz="0" w:space="0" w:color="auto"/>
                    <w:left w:val="none" w:sz="0" w:space="0" w:color="auto"/>
                    <w:bottom w:val="none" w:sz="0" w:space="0" w:color="auto"/>
                    <w:right w:val="none" w:sz="0" w:space="0" w:color="auto"/>
                  </w:divBdr>
                  <w:divsChild>
                    <w:div w:id="1913345107">
                      <w:marLeft w:val="0"/>
                      <w:marRight w:val="0"/>
                      <w:marTop w:val="0"/>
                      <w:marBottom w:val="0"/>
                      <w:divBdr>
                        <w:top w:val="none" w:sz="0" w:space="0" w:color="auto"/>
                        <w:left w:val="none" w:sz="0" w:space="0" w:color="auto"/>
                        <w:bottom w:val="none" w:sz="0" w:space="0" w:color="auto"/>
                        <w:right w:val="none" w:sz="0" w:space="0" w:color="auto"/>
                      </w:divBdr>
                    </w:div>
                  </w:divsChild>
                </w:div>
                <w:div w:id="1008411481">
                  <w:marLeft w:val="0"/>
                  <w:marRight w:val="0"/>
                  <w:marTop w:val="0"/>
                  <w:marBottom w:val="0"/>
                  <w:divBdr>
                    <w:top w:val="none" w:sz="0" w:space="0" w:color="auto"/>
                    <w:left w:val="none" w:sz="0" w:space="0" w:color="auto"/>
                    <w:bottom w:val="none" w:sz="0" w:space="0" w:color="auto"/>
                    <w:right w:val="none" w:sz="0" w:space="0" w:color="auto"/>
                  </w:divBdr>
                  <w:divsChild>
                    <w:div w:id="16851435">
                      <w:marLeft w:val="0"/>
                      <w:marRight w:val="0"/>
                      <w:marTop w:val="0"/>
                      <w:marBottom w:val="0"/>
                      <w:divBdr>
                        <w:top w:val="none" w:sz="0" w:space="0" w:color="auto"/>
                        <w:left w:val="none" w:sz="0" w:space="0" w:color="auto"/>
                        <w:bottom w:val="none" w:sz="0" w:space="0" w:color="auto"/>
                        <w:right w:val="none" w:sz="0" w:space="0" w:color="auto"/>
                      </w:divBdr>
                    </w:div>
                  </w:divsChild>
                </w:div>
                <w:div w:id="1176920757">
                  <w:marLeft w:val="0"/>
                  <w:marRight w:val="0"/>
                  <w:marTop w:val="0"/>
                  <w:marBottom w:val="0"/>
                  <w:divBdr>
                    <w:top w:val="none" w:sz="0" w:space="0" w:color="auto"/>
                    <w:left w:val="none" w:sz="0" w:space="0" w:color="auto"/>
                    <w:bottom w:val="none" w:sz="0" w:space="0" w:color="auto"/>
                    <w:right w:val="none" w:sz="0" w:space="0" w:color="auto"/>
                  </w:divBdr>
                  <w:divsChild>
                    <w:div w:id="1963342066">
                      <w:marLeft w:val="0"/>
                      <w:marRight w:val="0"/>
                      <w:marTop w:val="0"/>
                      <w:marBottom w:val="0"/>
                      <w:divBdr>
                        <w:top w:val="none" w:sz="0" w:space="0" w:color="auto"/>
                        <w:left w:val="none" w:sz="0" w:space="0" w:color="auto"/>
                        <w:bottom w:val="none" w:sz="0" w:space="0" w:color="auto"/>
                        <w:right w:val="none" w:sz="0" w:space="0" w:color="auto"/>
                      </w:divBdr>
                    </w:div>
                  </w:divsChild>
                </w:div>
                <w:div w:id="1182550771">
                  <w:marLeft w:val="0"/>
                  <w:marRight w:val="0"/>
                  <w:marTop w:val="0"/>
                  <w:marBottom w:val="0"/>
                  <w:divBdr>
                    <w:top w:val="none" w:sz="0" w:space="0" w:color="auto"/>
                    <w:left w:val="none" w:sz="0" w:space="0" w:color="auto"/>
                    <w:bottom w:val="none" w:sz="0" w:space="0" w:color="auto"/>
                    <w:right w:val="none" w:sz="0" w:space="0" w:color="auto"/>
                  </w:divBdr>
                  <w:divsChild>
                    <w:div w:id="99688429">
                      <w:marLeft w:val="0"/>
                      <w:marRight w:val="0"/>
                      <w:marTop w:val="0"/>
                      <w:marBottom w:val="0"/>
                      <w:divBdr>
                        <w:top w:val="none" w:sz="0" w:space="0" w:color="auto"/>
                        <w:left w:val="none" w:sz="0" w:space="0" w:color="auto"/>
                        <w:bottom w:val="none" w:sz="0" w:space="0" w:color="auto"/>
                        <w:right w:val="none" w:sz="0" w:space="0" w:color="auto"/>
                      </w:divBdr>
                    </w:div>
                  </w:divsChild>
                </w:div>
                <w:div w:id="1243643436">
                  <w:marLeft w:val="0"/>
                  <w:marRight w:val="0"/>
                  <w:marTop w:val="0"/>
                  <w:marBottom w:val="0"/>
                  <w:divBdr>
                    <w:top w:val="none" w:sz="0" w:space="0" w:color="auto"/>
                    <w:left w:val="none" w:sz="0" w:space="0" w:color="auto"/>
                    <w:bottom w:val="none" w:sz="0" w:space="0" w:color="auto"/>
                    <w:right w:val="none" w:sz="0" w:space="0" w:color="auto"/>
                  </w:divBdr>
                  <w:divsChild>
                    <w:div w:id="1427920684">
                      <w:marLeft w:val="0"/>
                      <w:marRight w:val="0"/>
                      <w:marTop w:val="0"/>
                      <w:marBottom w:val="0"/>
                      <w:divBdr>
                        <w:top w:val="none" w:sz="0" w:space="0" w:color="auto"/>
                        <w:left w:val="none" w:sz="0" w:space="0" w:color="auto"/>
                        <w:bottom w:val="none" w:sz="0" w:space="0" w:color="auto"/>
                        <w:right w:val="none" w:sz="0" w:space="0" w:color="auto"/>
                      </w:divBdr>
                    </w:div>
                  </w:divsChild>
                </w:div>
                <w:div w:id="1320502677">
                  <w:marLeft w:val="0"/>
                  <w:marRight w:val="0"/>
                  <w:marTop w:val="0"/>
                  <w:marBottom w:val="0"/>
                  <w:divBdr>
                    <w:top w:val="none" w:sz="0" w:space="0" w:color="auto"/>
                    <w:left w:val="none" w:sz="0" w:space="0" w:color="auto"/>
                    <w:bottom w:val="none" w:sz="0" w:space="0" w:color="auto"/>
                    <w:right w:val="none" w:sz="0" w:space="0" w:color="auto"/>
                  </w:divBdr>
                  <w:divsChild>
                    <w:div w:id="772820843">
                      <w:marLeft w:val="0"/>
                      <w:marRight w:val="0"/>
                      <w:marTop w:val="0"/>
                      <w:marBottom w:val="0"/>
                      <w:divBdr>
                        <w:top w:val="none" w:sz="0" w:space="0" w:color="auto"/>
                        <w:left w:val="none" w:sz="0" w:space="0" w:color="auto"/>
                        <w:bottom w:val="none" w:sz="0" w:space="0" w:color="auto"/>
                        <w:right w:val="none" w:sz="0" w:space="0" w:color="auto"/>
                      </w:divBdr>
                    </w:div>
                  </w:divsChild>
                </w:div>
                <w:div w:id="1556312972">
                  <w:marLeft w:val="0"/>
                  <w:marRight w:val="0"/>
                  <w:marTop w:val="0"/>
                  <w:marBottom w:val="0"/>
                  <w:divBdr>
                    <w:top w:val="none" w:sz="0" w:space="0" w:color="auto"/>
                    <w:left w:val="none" w:sz="0" w:space="0" w:color="auto"/>
                    <w:bottom w:val="none" w:sz="0" w:space="0" w:color="auto"/>
                    <w:right w:val="none" w:sz="0" w:space="0" w:color="auto"/>
                  </w:divBdr>
                  <w:divsChild>
                    <w:div w:id="1472097010">
                      <w:marLeft w:val="0"/>
                      <w:marRight w:val="0"/>
                      <w:marTop w:val="0"/>
                      <w:marBottom w:val="0"/>
                      <w:divBdr>
                        <w:top w:val="none" w:sz="0" w:space="0" w:color="auto"/>
                        <w:left w:val="none" w:sz="0" w:space="0" w:color="auto"/>
                        <w:bottom w:val="none" w:sz="0" w:space="0" w:color="auto"/>
                        <w:right w:val="none" w:sz="0" w:space="0" w:color="auto"/>
                      </w:divBdr>
                    </w:div>
                  </w:divsChild>
                </w:div>
                <w:div w:id="1559778390">
                  <w:marLeft w:val="0"/>
                  <w:marRight w:val="0"/>
                  <w:marTop w:val="0"/>
                  <w:marBottom w:val="0"/>
                  <w:divBdr>
                    <w:top w:val="none" w:sz="0" w:space="0" w:color="auto"/>
                    <w:left w:val="none" w:sz="0" w:space="0" w:color="auto"/>
                    <w:bottom w:val="none" w:sz="0" w:space="0" w:color="auto"/>
                    <w:right w:val="none" w:sz="0" w:space="0" w:color="auto"/>
                  </w:divBdr>
                  <w:divsChild>
                    <w:div w:id="1444767263">
                      <w:marLeft w:val="0"/>
                      <w:marRight w:val="0"/>
                      <w:marTop w:val="0"/>
                      <w:marBottom w:val="0"/>
                      <w:divBdr>
                        <w:top w:val="none" w:sz="0" w:space="0" w:color="auto"/>
                        <w:left w:val="none" w:sz="0" w:space="0" w:color="auto"/>
                        <w:bottom w:val="none" w:sz="0" w:space="0" w:color="auto"/>
                        <w:right w:val="none" w:sz="0" w:space="0" w:color="auto"/>
                      </w:divBdr>
                    </w:div>
                  </w:divsChild>
                </w:div>
                <w:div w:id="1650478849">
                  <w:marLeft w:val="0"/>
                  <w:marRight w:val="0"/>
                  <w:marTop w:val="0"/>
                  <w:marBottom w:val="0"/>
                  <w:divBdr>
                    <w:top w:val="none" w:sz="0" w:space="0" w:color="auto"/>
                    <w:left w:val="none" w:sz="0" w:space="0" w:color="auto"/>
                    <w:bottom w:val="none" w:sz="0" w:space="0" w:color="auto"/>
                    <w:right w:val="none" w:sz="0" w:space="0" w:color="auto"/>
                  </w:divBdr>
                  <w:divsChild>
                    <w:div w:id="211043919">
                      <w:marLeft w:val="0"/>
                      <w:marRight w:val="0"/>
                      <w:marTop w:val="0"/>
                      <w:marBottom w:val="0"/>
                      <w:divBdr>
                        <w:top w:val="none" w:sz="0" w:space="0" w:color="auto"/>
                        <w:left w:val="none" w:sz="0" w:space="0" w:color="auto"/>
                        <w:bottom w:val="none" w:sz="0" w:space="0" w:color="auto"/>
                        <w:right w:val="none" w:sz="0" w:space="0" w:color="auto"/>
                      </w:divBdr>
                    </w:div>
                  </w:divsChild>
                </w:div>
                <w:div w:id="1724713893">
                  <w:marLeft w:val="0"/>
                  <w:marRight w:val="0"/>
                  <w:marTop w:val="0"/>
                  <w:marBottom w:val="0"/>
                  <w:divBdr>
                    <w:top w:val="none" w:sz="0" w:space="0" w:color="auto"/>
                    <w:left w:val="none" w:sz="0" w:space="0" w:color="auto"/>
                    <w:bottom w:val="none" w:sz="0" w:space="0" w:color="auto"/>
                    <w:right w:val="none" w:sz="0" w:space="0" w:color="auto"/>
                  </w:divBdr>
                  <w:divsChild>
                    <w:div w:id="1854764460">
                      <w:marLeft w:val="0"/>
                      <w:marRight w:val="0"/>
                      <w:marTop w:val="0"/>
                      <w:marBottom w:val="0"/>
                      <w:divBdr>
                        <w:top w:val="none" w:sz="0" w:space="0" w:color="auto"/>
                        <w:left w:val="none" w:sz="0" w:space="0" w:color="auto"/>
                        <w:bottom w:val="none" w:sz="0" w:space="0" w:color="auto"/>
                        <w:right w:val="none" w:sz="0" w:space="0" w:color="auto"/>
                      </w:divBdr>
                    </w:div>
                  </w:divsChild>
                </w:div>
                <w:div w:id="2058696718">
                  <w:marLeft w:val="0"/>
                  <w:marRight w:val="0"/>
                  <w:marTop w:val="0"/>
                  <w:marBottom w:val="0"/>
                  <w:divBdr>
                    <w:top w:val="none" w:sz="0" w:space="0" w:color="auto"/>
                    <w:left w:val="none" w:sz="0" w:space="0" w:color="auto"/>
                    <w:bottom w:val="none" w:sz="0" w:space="0" w:color="auto"/>
                    <w:right w:val="none" w:sz="0" w:space="0" w:color="auto"/>
                  </w:divBdr>
                  <w:divsChild>
                    <w:div w:id="1043097233">
                      <w:marLeft w:val="0"/>
                      <w:marRight w:val="0"/>
                      <w:marTop w:val="0"/>
                      <w:marBottom w:val="0"/>
                      <w:divBdr>
                        <w:top w:val="none" w:sz="0" w:space="0" w:color="auto"/>
                        <w:left w:val="none" w:sz="0" w:space="0" w:color="auto"/>
                        <w:bottom w:val="none" w:sz="0" w:space="0" w:color="auto"/>
                        <w:right w:val="none" w:sz="0" w:space="0" w:color="auto"/>
                      </w:divBdr>
                    </w:div>
                  </w:divsChild>
                </w:div>
                <w:div w:id="2079550957">
                  <w:marLeft w:val="0"/>
                  <w:marRight w:val="0"/>
                  <w:marTop w:val="0"/>
                  <w:marBottom w:val="0"/>
                  <w:divBdr>
                    <w:top w:val="none" w:sz="0" w:space="0" w:color="auto"/>
                    <w:left w:val="none" w:sz="0" w:space="0" w:color="auto"/>
                    <w:bottom w:val="none" w:sz="0" w:space="0" w:color="auto"/>
                    <w:right w:val="none" w:sz="0" w:space="0" w:color="auto"/>
                  </w:divBdr>
                  <w:divsChild>
                    <w:div w:id="134304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851">
          <w:marLeft w:val="0"/>
          <w:marRight w:val="0"/>
          <w:marTop w:val="0"/>
          <w:marBottom w:val="0"/>
          <w:divBdr>
            <w:top w:val="none" w:sz="0" w:space="0" w:color="auto"/>
            <w:left w:val="none" w:sz="0" w:space="0" w:color="auto"/>
            <w:bottom w:val="none" w:sz="0" w:space="0" w:color="auto"/>
            <w:right w:val="none" w:sz="0" w:space="0" w:color="auto"/>
          </w:divBdr>
        </w:div>
        <w:div w:id="1181508387">
          <w:marLeft w:val="0"/>
          <w:marRight w:val="0"/>
          <w:marTop w:val="0"/>
          <w:marBottom w:val="0"/>
          <w:divBdr>
            <w:top w:val="none" w:sz="0" w:space="0" w:color="auto"/>
            <w:left w:val="none" w:sz="0" w:space="0" w:color="auto"/>
            <w:bottom w:val="none" w:sz="0" w:space="0" w:color="auto"/>
            <w:right w:val="none" w:sz="0" w:space="0" w:color="auto"/>
          </w:divBdr>
        </w:div>
        <w:div w:id="1374497184">
          <w:marLeft w:val="0"/>
          <w:marRight w:val="0"/>
          <w:marTop w:val="0"/>
          <w:marBottom w:val="0"/>
          <w:divBdr>
            <w:top w:val="none" w:sz="0" w:space="0" w:color="auto"/>
            <w:left w:val="none" w:sz="0" w:space="0" w:color="auto"/>
            <w:bottom w:val="none" w:sz="0" w:space="0" w:color="auto"/>
            <w:right w:val="none" w:sz="0" w:space="0" w:color="auto"/>
          </w:divBdr>
          <w:divsChild>
            <w:div w:id="1974678730">
              <w:marLeft w:val="-75"/>
              <w:marRight w:val="0"/>
              <w:marTop w:val="30"/>
              <w:marBottom w:val="30"/>
              <w:divBdr>
                <w:top w:val="none" w:sz="0" w:space="0" w:color="auto"/>
                <w:left w:val="none" w:sz="0" w:space="0" w:color="auto"/>
                <w:bottom w:val="none" w:sz="0" w:space="0" w:color="auto"/>
                <w:right w:val="none" w:sz="0" w:space="0" w:color="auto"/>
              </w:divBdr>
              <w:divsChild>
                <w:div w:id="20521578">
                  <w:marLeft w:val="0"/>
                  <w:marRight w:val="0"/>
                  <w:marTop w:val="0"/>
                  <w:marBottom w:val="0"/>
                  <w:divBdr>
                    <w:top w:val="none" w:sz="0" w:space="0" w:color="auto"/>
                    <w:left w:val="none" w:sz="0" w:space="0" w:color="auto"/>
                    <w:bottom w:val="none" w:sz="0" w:space="0" w:color="auto"/>
                    <w:right w:val="none" w:sz="0" w:space="0" w:color="auto"/>
                  </w:divBdr>
                  <w:divsChild>
                    <w:div w:id="2035763025">
                      <w:marLeft w:val="0"/>
                      <w:marRight w:val="0"/>
                      <w:marTop w:val="0"/>
                      <w:marBottom w:val="0"/>
                      <w:divBdr>
                        <w:top w:val="none" w:sz="0" w:space="0" w:color="auto"/>
                        <w:left w:val="none" w:sz="0" w:space="0" w:color="auto"/>
                        <w:bottom w:val="none" w:sz="0" w:space="0" w:color="auto"/>
                        <w:right w:val="none" w:sz="0" w:space="0" w:color="auto"/>
                      </w:divBdr>
                    </w:div>
                  </w:divsChild>
                </w:div>
                <w:div w:id="192546402">
                  <w:marLeft w:val="0"/>
                  <w:marRight w:val="0"/>
                  <w:marTop w:val="0"/>
                  <w:marBottom w:val="0"/>
                  <w:divBdr>
                    <w:top w:val="none" w:sz="0" w:space="0" w:color="auto"/>
                    <w:left w:val="none" w:sz="0" w:space="0" w:color="auto"/>
                    <w:bottom w:val="none" w:sz="0" w:space="0" w:color="auto"/>
                    <w:right w:val="none" w:sz="0" w:space="0" w:color="auto"/>
                  </w:divBdr>
                  <w:divsChild>
                    <w:div w:id="2130319445">
                      <w:marLeft w:val="0"/>
                      <w:marRight w:val="0"/>
                      <w:marTop w:val="0"/>
                      <w:marBottom w:val="0"/>
                      <w:divBdr>
                        <w:top w:val="none" w:sz="0" w:space="0" w:color="auto"/>
                        <w:left w:val="none" w:sz="0" w:space="0" w:color="auto"/>
                        <w:bottom w:val="none" w:sz="0" w:space="0" w:color="auto"/>
                        <w:right w:val="none" w:sz="0" w:space="0" w:color="auto"/>
                      </w:divBdr>
                    </w:div>
                  </w:divsChild>
                </w:div>
                <w:div w:id="302514258">
                  <w:marLeft w:val="0"/>
                  <w:marRight w:val="0"/>
                  <w:marTop w:val="0"/>
                  <w:marBottom w:val="0"/>
                  <w:divBdr>
                    <w:top w:val="none" w:sz="0" w:space="0" w:color="auto"/>
                    <w:left w:val="none" w:sz="0" w:space="0" w:color="auto"/>
                    <w:bottom w:val="none" w:sz="0" w:space="0" w:color="auto"/>
                    <w:right w:val="none" w:sz="0" w:space="0" w:color="auto"/>
                  </w:divBdr>
                  <w:divsChild>
                    <w:div w:id="1657102573">
                      <w:marLeft w:val="0"/>
                      <w:marRight w:val="0"/>
                      <w:marTop w:val="0"/>
                      <w:marBottom w:val="0"/>
                      <w:divBdr>
                        <w:top w:val="none" w:sz="0" w:space="0" w:color="auto"/>
                        <w:left w:val="none" w:sz="0" w:space="0" w:color="auto"/>
                        <w:bottom w:val="none" w:sz="0" w:space="0" w:color="auto"/>
                        <w:right w:val="none" w:sz="0" w:space="0" w:color="auto"/>
                      </w:divBdr>
                    </w:div>
                  </w:divsChild>
                </w:div>
                <w:div w:id="413547795">
                  <w:marLeft w:val="0"/>
                  <w:marRight w:val="0"/>
                  <w:marTop w:val="0"/>
                  <w:marBottom w:val="0"/>
                  <w:divBdr>
                    <w:top w:val="none" w:sz="0" w:space="0" w:color="auto"/>
                    <w:left w:val="none" w:sz="0" w:space="0" w:color="auto"/>
                    <w:bottom w:val="none" w:sz="0" w:space="0" w:color="auto"/>
                    <w:right w:val="none" w:sz="0" w:space="0" w:color="auto"/>
                  </w:divBdr>
                  <w:divsChild>
                    <w:div w:id="1377701893">
                      <w:marLeft w:val="0"/>
                      <w:marRight w:val="0"/>
                      <w:marTop w:val="0"/>
                      <w:marBottom w:val="0"/>
                      <w:divBdr>
                        <w:top w:val="none" w:sz="0" w:space="0" w:color="auto"/>
                        <w:left w:val="none" w:sz="0" w:space="0" w:color="auto"/>
                        <w:bottom w:val="none" w:sz="0" w:space="0" w:color="auto"/>
                        <w:right w:val="none" w:sz="0" w:space="0" w:color="auto"/>
                      </w:divBdr>
                    </w:div>
                  </w:divsChild>
                </w:div>
                <w:div w:id="521823122">
                  <w:marLeft w:val="0"/>
                  <w:marRight w:val="0"/>
                  <w:marTop w:val="0"/>
                  <w:marBottom w:val="0"/>
                  <w:divBdr>
                    <w:top w:val="none" w:sz="0" w:space="0" w:color="auto"/>
                    <w:left w:val="none" w:sz="0" w:space="0" w:color="auto"/>
                    <w:bottom w:val="none" w:sz="0" w:space="0" w:color="auto"/>
                    <w:right w:val="none" w:sz="0" w:space="0" w:color="auto"/>
                  </w:divBdr>
                  <w:divsChild>
                    <w:div w:id="1481578241">
                      <w:marLeft w:val="0"/>
                      <w:marRight w:val="0"/>
                      <w:marTop w:val="0"/>
                      <w:marBottom w:val="0"/>
                      <w:divBdr>
                        <w:top w:val="none" w:sz="0" w:space="0" w:color="auto"/>
                        <w:left w:val="none" w:sz="0" w:space="0" w:color="auto"/>
                        <w:bottom w:val="none" w:sz="0" w:space="0" w:color="auto"/>
                        <w:right w:val="none" w:sz="0" w:space="0" w:color="auto"/>
                      </w:divBdr>
                    </w:div>
                  </w:divsChild>
                </w:div>
                <w:div w:id="586185381">
                  <w:marLeft w:val="0"/>
                  <w:marRight w:val="0"/>
                  <w:marTop w:val="0"/>
                  <w:marBottom w:val="0"/>
                  <w:divBdr>
                    <w:top w:val="none" w:sz="0" w:space="0" w:color="auto"/>
                    <w:left w:val="none" w:sz="0" w:space="0" w:color="auto"/>
                    <w:bottom w:val="none" w:sz="0" w:space="0" w:color="auto"/>
                    <w:right w:val="none" w:sz="0" w:space="0" w:color="auto"/>
                  </w:divBdr>
                  <w:divsChild>
                    <w:div w:id="943613463">
                      <w:marLeft w:val="0"/>
                      <w:marRight w:val="0"/>
                      <w:marTop w:val="0"/>
                      <w:marBottom w:val="0"/>
                      <w:divBdr>
                        <w:top w:val="none" w:sz="0" w:space="0" w:color="auto"/>
                        <w:left w:val="none" w:sz="0" w:space="0" w:color="auto"/>
                        <w:bottom w:val="none" w:sz="0" w:space="0" w:color="auto"/>
                        <w:right w:val="none" w:sz="0" w:space="0" w:color="auto"/>
                      </w:divBdr>
                    </w:div>
                  </w:divsChild>
                </w:div>
                <w:div w:id="882058775">
                  <w:marLeft w:val="0"/>
                  <w:marRight w:val="0"/>
                  <w:marTop w:val="0"/>
                  <w:marBottom w:val="0"/>
                  <w:divBdr>
                    <w:top w:val="none" w:sz="0" w:space="0" w:color="auto"/>
                    <w:left w:val="none" w:sz="0" w:space="0" w:color="auto"/>
                    <w:bottom w:val="none" w:sz="0" w:space="0" w:color="auto"/>
                    <w:right w:val="none" w:sz="0" w:space="0" w:color="auto"/>
                  </w:divBdr>
                  <w:divsChild>
                    <w:div w:id="300766565">
                      <w:marLeft w:val="0"/>
                      <w:marRight w:val="0"/>
                      <w:marTop w:val="0"/>
                      <w:marBottom w:val="0"/>
                      <w:divBdr>
                        <w:top w:val="none" w:sz="0" w:space="0" w:color="auto"/>
                        <w:left w:val="none" w:sz="0" w:space="0" w:color="auto"/>
                        <w:bottom w:val="none" w:sz="0" w:space="0" w:color="auto"/>
                        <w:right w:val="none" w:sz="0" w:space="0" w:color="auto"/>
                      </w:divBdr>
                    </w:div>
                  </w:divsChild>
                </w:div>
                <w:div w:id="890849532">
                  <w:marLeft w:val="0"/>
                  <w:marRight w:val="0"/>
                  <w:marTop w:val="0"/>
                  <w:marBottom w:val="0"/>
                  <w:divBdr>
                    <w:top w:val="none" w:sz="0" w:space="0" w:color="auto"/>
                    <w:left w:val="none" w:sz="0" w:space="0" w:color="auto"/>
                    <w:bottom w:val="none" w:sz="0" w:space="0" w:color="auto"/>
                    <w:right w:val="none" w:sz="0" w:space="0" w:color="auto"/>
                  </w:divBdr>
                  <w:divsChild>
                    <w:div w:id="1116294544">
                      <w:marLeft w:val="0"/>
                      <w:marRight w:val="0"/>
                      <w:marTop w:val="0"/>
                      <w:marBottom w:val="0"/>
                      <w:divBdr>
                        <w:top w:val="none" w:sz="0" w:space="0" w:color="auto"/>
                        <w:left w:val="none" w:sz="0" w:space="0" w:color="auto"/>
                        <w:bottom w:val="none" w:sz="0" w:space="0" w:color="auto"/>
                        <w:right w:val="none" w:sz="0" w:space="0" w:color="auto"/>
                      </w:divBdr>
                    </w:div>
                  </w:divsChild>
                </w:div>
                <w:div w:id="917248703">
                  <w:marLeft w:val="0"/>
                  <w:marRight w:val="0"/>
                  <w:marTop w:val="0"/>
                  <w:marBottom w:val="0"/>
                  <w:divBdr>
                    <w:top w:val="none" w:sz="0" w:space="0" w:color="auto"/>
                    <w:left w:val="none" w:sz="0" w:space="0" w:color="auto"/>
                    <w:bottom w:val="none" w:sz="0" w:space="0" w:color="auto"/>
                    <w:right w:val="none" w:sz="0" w:space="0" w:color="auto"/>
                  </w:divBdr>
                  <w:divsChild>
                    <w:div w:id="598756642">
                      <w:marLeft w:val="0"/>
                      <w:marRight w:val="0"/>
                      <w:marTop w:val="0"/>
                      <w:marBottom w:val="0"/>
                      <w:divBdr>
                        <w:top w:val="none" w:sz="0" w:space="0" w:color="auto"/>
                        <w:left w:val="none" w:sz="0" w:space="0" w:color="auto"/>
                        <w:bottom w:val="none" w:sz="0" w:space="0" w:color="auto"/>
                        <w:right w:val="none" w:sz="0" w:space="0" w:color="auto"/>
                      </w:divBdr>
                    </w:div>
                  </w:divsChild>
                </w:div>
                <w:div w:id="981425758">
                  <w:marLeft w:val="0"/>
                  <w:marRight w:val="0"/>
                  <w:marTop w:val="0"/>
                  <w:marBottom w:val="0"/>
                  <w:divBdr>
                    <w:top w:val="none" w:sz="0" w:space="0" w:color="auto"/>
                    <w:left w:val="none" w:sz="0" w:space="0" w:color="auto"/>
                    <w:bottom w:val="none" w:sz="0" w:space="0" w:color="auto"/>
                    <w:right w:val="none" w:sz="0" w:space="0" w:color="auto"/>
                  </w:divBdr>
                  <w:divsChild>
                    <w:div w:id="1286691464">
                      <w:marLeft w:val="0"/>
                      <w:marRight w:val="0"/>
                      <w:marTop w:val="0"/>
                      <w:marBottom w:val="0"/>
                      <w:divBdr>
                        <w:top w:val="none" w:sz="0" w:space="0" w:color="auto"/>
                        <w:left w:val="none" w:sz="0" w:space="0" w:color="auto"/>
                        <w:bottom w:val="none" w:sz="0" w:space="0" w:color="auto"/>
                        <w:right w:val="none" w:sz="0" w:space="0" w:color="auto"/>
                      </w:divBdr>
                    </w:div>
                  </w:divsChild>
                </w:div>
                <w:div w:id="1032993213">
                  <w:marLeft w:val="0"/>
                  <w:marRight w:val="0"/>
                  <w:marTop w:val="0"/>
                  <w:marBottom w:val="0"/>
                  <w:divBdr>
                    <w:top w:val="none" w:sz="0" w:space="0" w:color="auto"/>
                    <w:left w:val="none" w:sz="0" w:space="0" w:color="auto"/>
                    <w:bottom w:val="none" w:sz="0" w:space="0" w:color="auto"/>
                    <w:right w:val="none" w:sz="0" w:space="0" w:color="auto"/>
                  </w:divBdr>
                  <w:divsChild>
                    <w:div w:id="706298446">
                      <w:marLeft w:val="0"/>
                      <w:marRight w:val="0"/>
                      <w:marTop w:val="0"/>
                      <w:marBottom w:val="0"/>
                      <w:divBdr>
                        <w:top w:val="none" w:sz="0" w:space="0" w:color="auto"/>
                        <w:left w:val="none" w:sz="0" w:space="0" w:color="auto"/>
                        <w:bottom w:val="none" w:sz="0" w:space="0" w:color="auto"/>
                        <w:right w:val="none" w:sz="0" w:space="0" w:color="auto"/>
                      </w:divBdr>
                    </w:div>
                  </w:divsChild>
                </w:div>
                <w:div w:id="1156994776">
                  <w:marLeft w:val="0"/>
                  <w:marRight w:val="0"/>
                  <w:marTop w:val="0"/>
                  <w:marBottom w:val="0"/>
                  <w:divBdr>
                    <w:top w:val="none" w:sz="0" w:space="0" w:color="auto"/>
                    <w:left w:val="none" w:sz="0" w:space="0" w:color="auto"/>
                    <w:bottom w:val="none" w:sz="0" w:space="0" w:color="auto"/>
                    <w:right w:val="none" w:sz="0" w:space="0" w:color="auto"/>
                  </w:divBdr>
                  <w:divsChild>
                    <w:div w:id="176967871">
                      <w:marLeft w:val="0"/>
                      <w:marRight w:val="0"/>
                      <w:marTop w:val="0"/>
                      <w:marBottom w:val="0"/>
                      <w:divBdr>
                        <w:top w:val="none" w:sz="0" w:space="0" w:color="auto"/>
                        <w:left w:val="none" w:sz="0" w:space="0" w:color="auto"/>
                        <w:bottom w:val="none" w:sz="0" w:space="0" w:color="auto"/>
                        <w:right w:val="none" w:sz="0" w:space="0" w:color="auto"/>
                      </w:divBdr>
                    </w:div>
                  </w:divsChild>
                </w:div>
                <w:div w:id="1157919141">
                  <w:marLeft w:val="0"/>
                  <w:marRight w:val="0"/>
                  <w:marTop w:val="0"/>
                  <w:marBottom w:val="0"/>
                  <w:divBdr>
                    <w:top w:val="none" w:sz="0" w:space="0" w:color="auto"/>
                    <w:left w:val="none" w:sz="0" w:space="0" w:color="auto"/>
                    <w:bottom w:val="none" w:sz="0" w:space="0" w:color="auto"/>
                    <w:right w:val="none" w:sz="0" w:space="0" w:color="auto"/>
                  </w:divBdr>
                  <w:divsChild>
                    <w:div w:id="1425035144">
                      <w:marLeft w:val="0"/>
                      <w:marRight w:val="0"/>
                      <w:marTop w:val="0"/>
                      <w:marBottom w:val="0"/>
                      <w:divBdr>
                        <w:top w:val="none" w:sz="0" w:space="0" w:color="auto"/>
                        <w:left w:val="none" w:sz="0" w:space="0" w:color="auto"/>
                        <w:bottom w:val="none" w:sz="0" w:space="0" w:color="auto"/>
                        <w:right w:val="none" w:sz="0" w:space="0" w:color="auto"/>
                      </w:divBdr>
                    </w:div>
                  </w:divsChild>
                </w:div>
                <w:div w:id="1225606399">
                  <w:marLeft w:val="0"/>
                  <w:marRight w:val="0"/>
                  <w:marTop w:val="0"/>
                  <w:marBottom w:val="0"/>
                  <w:divBdr>
                    <w:top w:val="none" w:sz="0" w:space="0" w:color="auto"/>
                    <w:left w:val="none" w:sz="0" w:space="0" w:color="auto"/>
                    <w:bottom w:val="none" w:sz="0" w:space="0" w:color="auto"/>
                    <w:right w:val="none" w:sz="0" w:space="0" w:color="auto"/>
                  </w:divBdr>
                  <w:divsChild>
                    <w:div w:id="974069487">
                      <w:marLeft w:val="0"/>
                      <w:marRight w:val="0"/>
                      <w:marTop w:val="0"/>
                      <w:marBottom w:val="0"/>
                      <w:divBdr>
                        <w:top w:val="none" w:sz="0" w:space="0" w:color="auto"/>
                        <w:left w:val="none" w:sz="0" w:space="0" w:color="auto"/>
                        <w:bottom w:val="none" w:sz="0" w:space="0" w:color="auto"/>
                        <w:right w:val="none" w:sz="0" w:space="0" w:color="auto"/>
                      </w:divBdr>
                    </w:div>
                  </w:divsChild>
                </w:div>
                <w:div w:id="1469587779">
                  <w:marLeft w:val="0"/>
                  <w:marRight w:val="0"/>
                  <w:marTop w:val="0"/>
                  <w:marBottom w:val="0"/>
                  <w:divBdr>
                    <w:top w:val="none" w:sz="0" w:space="0" w:color="auto"/>
                    <w:left w:val="none" w:sz="0" w:space="0" w:color="auto"/>
                    <w:bottom w:val="none" w:sz="0" w:space="0" w:color="auto"/>
                    <w:right w:val="none" w:sz="0" w:space="0" w:color="auto"/>
                  </w:divBdr>
                  <w:divsChild>
                    <w:div w:id="465122193">
                      <w:marLeft w:val="0"/>
                      <w:marRight w:val="0"/>
                      <w:marTop w:val="0"/>
                      <w:marBottom w:val="0"/>
                      <w:divBdr>
                        <w:top w:val="none" w:sz="0" w:space="0" w:color="auto"/>
                        <w:left w:val="none" w:sz="0" w:space="0" w:color="auto"/>
                        <w:bottom w:val="none" w:sz="0" w:space="0" w:color="auto"/>
                        <w:right w:val="none" w:sz="0" w:space="0" w:color="auto"/>
                      </w:divBdr>
                    </w:div>
                  </w:divsChild>
                </w:div>
                <w:div w:id="1560745868">
                  <w:marLeft w:val="0"/>
                  <w:marRight w:val="0"/>
                  <w:marTop w:val="0"/>
                  <w:marBottom w:val="0"/>
                  <w:divBdr>
                    <w:top w:val="none" w:sz="0" w:space="0" w:color="auto"/>
                    <w:left w:val="none" w:sz="0" w:space="0" w:color="auto"/>
                    <w:bottom w:val="none" w:sz="0" w:space="0" w:color="auto"/>
                    <w:right w:val="none" w:sz="0" w:space="0" w:color="auto"/>
                  </w:divBdr>
                  <w:divsChild>
                    <w:div w:id="802427317">
                      <w:marLeft w:val="0"/>
                      <w:marRight w:val="0"/>
                      <w:marTop w:val="0"/>
                      <w:marBottom w:val="0"/>
                      <w:divBdr>
                        <w:top w:val="none" w:sz="0" w:space="0" w:color="auto"/>
                        <w:left w:val="none" w:sz="0" w:space="0" w:color="auto"/>
                        <w:bottom w:val="none" w:sz="0" w:space="0" w:color="auto"/>
                        <w:right w:val="none" w:sz="0" w:space="0" w:color="auto"/>
                      </w:divBdr>
                    </w:div>
                  </w:divsChild>
                </w:div>
                <w:div w:id="1587306170">
                  <w:marLeft w:val="0"/>
                  <w:marRight w:val="0"/>
                  <w:marTop w:val="0"/>
                  <w:marBottom w:val="0"/>
                  <w:divBdr>
                    <w:top w:val="none" w:sz="0" w:space="0" w:color="auto"/>
                    <w:left w:val="none" w:sz="0" w:space="0" w:color="auto"/>
                    <w:bottom w:val="none" w:sz="0" w:space="0" w:color="auto"/>
                    <w:right w:val="none" w:sz="0" w:space="0" w:color="auto"/>
                  </w:divBdr>
                  <w:divsChild>
                    <w:div w:id="706565382">
                      <w:marLeft w:val="0"/>
                      <w:marRight w:val="0"/>
                      <w:marTop w:val="0"/>
                      <w:marBottom w:val="0"/>
                      <w:divBdr>
                        <w:top w:val="none" w:sz="0" w:space="0" w:color="auto"/>
                        <w:left w:val="none" w:sz="0" w:space="0" w:color="auto"/>
                        <w:bottom w:val="none" w:sz="0" w:space="0" w:color="auto"/>
                        <w:right w:val="none" w:sz="0" w:space="0" w:color="auto"/>
                      </w:divBdr>
                    </w:div>
                  </w:divsChild>
                </w:div>
                <w:div w:id="1751610218">
                  <w:marLeft w:val="0"/>
                  <w:marRight w:val="0"/>
                  <w:marTop w:val="0"/>
                  <w:marBottom w:val="0"/>
                  <w:divBdr>
                    <w:top w:val="none" w:sz="0" w:space="0" w:color="auto"/>
                    <w:left w:val="none" w:sz="0" w:space="0" w:color="auto"/>
                    <w:bottom w:val="none" w:sz="0" w:space="0" w:color="auto"/>
                    <w:right w:val="none" w:sz="0" w:space="0" w:color="auto"/>
                  </w:divBdr>
                  <w:divsChild>
                    <w:div w:id="663124336">
                      <w:marLeft w:val="0"/>
                      <w:marRight w:val="0"/>
                      <w:marTop w:val="0"/>
                      <w:marBottom w:val="0"/>
                      <w:divBdr>
                        <w:top w:val="none" w:sz="0" w:space="0" w:color="auto"/>
                        <w:left w:val="none" w:sz="0" w:space="0" w:color="auto"/>
                        <w:bottom w:val="none" w:sz="0" w:space="0" w:color="auto"/>
                        <w:right w:val="none" w:sz="0" w:space="0" w:color="auto"/>
                      </w:divBdr>
                    </w:div>
                  </w:divsChild>
                </w:div>
                <w:div w:id="1774667457">
                  <w:marLeft w:val="0"/>
                  <w:marRight w:val="0"/>
                  <w:marTop w:val="0"/>
                  <w:marBottom w:val="0"/>
                  <w:divBdr>
                    <w:top w:val="none" w:sz="0" w:space="0" w:color="auto"/>
                    <w:left w:val="none" w:sz="0" w:space="0" w:color="auto"/>
                    <w:bottom w:val="none" w:sz="0" w:space="0" w:color="auto"/>
                    <w:right w:val="none" w:sz="0" w:space="0" w:color="auto"/>
                  </w:divBdr>
                  <w:divsChild>
                    <w:div w:id="730620544">
                      <w:marLeft w:val="0"/>
                      <w:marRight w:val="0"/>
                      <w:marTop w:val="0"/>
                      <w:marBottom w:val="0"/>
                      <w:divBdr>
                        <w:top w:val="none" w:sz="0" w:space="0" w:color="auto"/>
                        <w:left w:val="none" w:sz="0" w:space="0" w:color="auto"/>
                        <w:bottom w:val="none" w:sz="0" w:space="0" w:color="auto"/>
                        <w:right w:val="none" w:sz="0" w:space="0" w:color="auto"/>
                      </w:divBdr>
                    </w:div>
                  </w:divsChild>
                </w:div>
                <w:div w:id="1843080106">
                  <w:marLeft w:val="0"/>
                  <w:marRight w:val="0"/>
                  <w:marTop w:val="0"/>
                  <w:marBottom w:val="0"/>
                  <w:divBdr>
                    <w:top w:val="none" w:sz="0" w:space="0" w:color="auto"/>
                    <w:left w:val="none" w:sz="0" w:space="0" w:color="auto"/>
                    <w:bottom w:val="none" w:sz="0" w:space="0" w:color="auto"/>
                    <w:right w:val="none" w:sz="0" w:space="0" w:color="auto"/>
                  </w:divBdr>
                  <w:divsChild>
                    <w:div w:id="146213077">
                      <w:marLeft w:val="0"/>
                      <w:marRight w:val="0"/>
                      <w:marTop w:val="0"/>
                      <w:marBottom w:val="0"/>
                      <w:divBdr>
                        <w:top w:val="none" w:sz="0" w:space="0" w:color="auto"/>
                        <w:left w:val="none" w:sz="0" w:space="0" w:color="auto"/>
                        <w:bottom w:val="none" w:sz="0" w:space="0" w:color="auto"/>
                        <w:right w:val="none" w:sz="0" w:space="0" w:color="auto"/>
                      </w:divBdr>
                    </w:div>
                  </w:divsChild>
                </w:div>
                <w:div w:id="1851020482">
                  <w:marLeft w:val="0"/>
                  <w:marRight w:val="0"/>
                  <w:marTop w:val="0"/>
                  <w:marBottom w:val="0"/>
                  <w:divBdr>
                    <w:top w:val="none" w:sz="0" w:space="0" w:color="auto"/>
                    <w:left w:val="none" w:sz="0" w:space="0" w:color="auto"/>
                    <w:bottom w:val="none" w:sz="0" w:space="0" w:color="auto"/>
                    <w:right w:val="none" w:sz="0" w:space="0" w:color="auto"/>
                  </w:divBdr>
                  <w:divsChild>
                    <w:div w:id="2138330064">
                      <w:marLeft w:val="0"/>
                      <w:marRight w:val="0"/>
                      <w:marTop w:val="0"/>
                      <w:marBottom w:val="0"/>
                      <w:divBdr>
                        <w:top w:val="none" w:sz="0" w:space="0" w:color="auto"/>
                        <w:left w:val="none" w:sz="0" w:space="0" w:color="auto"/>
                        <w:bottom w:val="none" w:sz="0" w:space="0" w:color="auto"/>
                        <w:right w:val="none" w:sz="0" w:space="0" w:color="auto"/>
                      </w:divBdr>
                    </w:div>
                  </w:divsChild>
                </w:div>
                <w:div w:id="2046322662">
                  <w:marLeft w:val="0"/>
                  <w:marRight w:val="0"/>
                  <w:marTop w:val="0"/>
                  <w:marBottom w:val="0"/>
                  <w:divBdr>
                    <w:top w:val="none" w:sz="0" w:space="0" w:color="auto"/>
                    <w:left w:val="none" w:sz="0" w:space="0" w:color="auto"/>
                    <w:bottom w:val="none" w:sz="0" w:space="0" w:color="auto"/>
                    <w:right w:val="none" w:sz="0" w:space="0" w:color="auto"/>
                  </w:divBdr>
                  <w:divsChild>
                    <w:div w:id="17843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28934">
          <w:marLeft w:val="0"/>
          <w:marRight w:val="0"/>
          <w:marTop w:val="0"/>
          <w:marBottom w:val="0"/>
          <w:divBdr>
            <w:top w:val="none" w:sz="0" w:space="0" w:color="auto"/>
            <w:left w:val="none" w:sz="0" w:space="0" w:color="auto"/>
            <w:bottom w:val="none" w:sz="0" w:space="0" w:color="auto"/>
            <w:right w:val="none" w:sz="0" w:space="0" w:color="auto"/>
          </w:divBdr>
        </w:div>
        <w:div w:id="1525360725">
          <w:marLeft w:val="0"/>
          <w:marRight w:val="0"/>
          <w:marTop w:val="0"/>
          <w:marBottom w:val="0"/>
          <w:divBdr>
            <w:top w:val="none" w:sz="0" w:space="0" w:color="auto"/>
            <w:left w:val="none" w:sz="0" w:space="0" w:color="auto"/>
            <w:bottom w:val="none" w:sz="0" w:space="0" w:color="auto"/>
            <w:right w:val="none" w:sz="0" w:space="0" w:color="auto"/>
          </w:divBdr>
        </w:div>
        <w:div w:id="1720395606">
          <w:marLeft w:val="0"/>
          <w:marRight w:val="0"/>
          <w:marTop w:val="0"/>
          <w:marBottom w:val="0"/>
          <w:divBdr>
            <w:top w:val="none" w:sz="0" w:space="0" w:color="auto"/>
            <w:left w:val="none" w:sz="0" w:space="0" w:color="auto"/>
            <w:bottom w:val="none" w:sz="0" w:space="0" w:color="auto"/>
            <w:right w:val="none" w:sz="0" w:space="0" w:color="auto"/>
          </w:divBdr>
        </w:div>
        <w:div w:id="1731685104">
          <w:marLeft w:val="0"/>
          <w:marRight w:val="0"/>
          <w:marTop w:val="0"/>
          <w:marBottom w:val="0"/>
          <w:divBdr>
            <w:top w:val="none" w:sz="0" w:space="0" w:color="auto"/>
            <w:left w:val="none" w:sz="0" w:space="0" w:color="auto"/>
            <w:bottom w:val="none" w:sz="0" w:space="0" w:color="auto"/>
            <w:right w:val="none" w:sz="0" w:space="0" w:color="auto"/>
          </w:divBdr>
        </w:div>
        <w:div w:id="1829789243">
          <w:marLeft w:val="0"/>
          <w:marRight w:val="0"/>
          <w:marTop w:val="0"/>
          <w:marBottom w:val="0"/>
          <w:divBdr>
            <w:top w:val="none" w:sz="0" w:space="0" w:color="auto"/>
            <w:left w:val="none" w:sz="0" w:space="0" w:color="auto"/>
            <w:bottom w:val="none" w:sz="0" w:space="0" w:color="auto"/>
            <w:right w:val="none" w:sz="0" w:space="0" w:color="auto"/>
          </w:divBdr>
        </w:div>
        <w:div w:id="1855920743">
          <w:marLeft w:val="0"/>
          <w:marRight w:val="0"/>
          <w:marTop w:val="0"/>
          <w:marBottom w:val="0"/>
          <w:divBdr>
            <w:top w:val="none" w:sz="0" w:space="0" w:color="auto"/>
            <w:left w:val="none" w:sz="0" w:space="0" w:color="auto"/>
            <w:bottom w:val="none" w:sz="0" w:space="0" w:color="auto"/>
            <w:right w:val="none" w:sz="0" w:space="0" w:color="auto"/>
          </w:divBdr>
        </w:div>
        <w:div w:id="1979988748">
          <w:marLeft w:val="0"/>
          <w:marRight w:val="0"/>
          <w:marTop w:val="0"/>
          <w:marBottom w:val="0"/>
          <w:divBdr>
            <w:top w:val="none" w:sz="0" w:space="0" w:color="auto"/>
            <w:left w:val="none" w:sz="0" w:space="0" w:color="auto"/>
            <w:bottom w:val="none" w:sz="0" w:space="0" w:color="auto"/>
            <w:right w:val="none" w:sz="0" w:space="0" w:color="auto"/>
          </w:divBdr>
        </w:div>
        <w:div w:id="2054886356">
          <w:marLeft w:val="0"/>
          <w:marRight w:val="0"/>
          <w:marTop w:val="0"/>
          <w:marBottom w:val="0"/>
          <w:divBdr>
            <w:top w:val="none" w:sz="0" w:space="0" w:color="auto"/>
            <w:left w:val="none" w:sz="0" w:space="0" w:color="auto"/>
            <w:bottom w:val="none" w:sz="0" w:space="0" w:color="auto"/>
            <w:right w:val="none" w:sz="0" w:space="0" w:color="auto"/>
          </w:divBdr>
          <w:divsChild>
            <w:div w:id="2121103942">
              <w:marLeft w:val="-75"/>
              <w:marRight w:val="0"/>
              <w:marTop w:val="30"/>
              <w:marBottom w:val="30"/>
              <w:divBdr>
                <w:top w:val="none" w:sz="0" w:space="0" w:color="auto"/>
                <w:left w:val="none" w:sz="0" w:space="0" w:color="auto"/>
                <w:bottom w:val="none" w:sz="0" w:space="0" w:color="auto"/>
                <w:right w:val="none" w:sz="0" w:space="0" w:color="auto"/>
              </w:divBdr>
              <w:divsChild>
                <w:div w:id="494758371">
                  <w:marLeft w:val="0"/>
                  <w:marRight w:val="0"/>
                  <w:marTop w:val="0"/>
                  <w:marBottom w:val="0"/>
                  <w:divBdr>
                    <w:top w:val="none" w:sz="0" w:space="0" w:color="auto"/>
                    <w:left w:val="none" w:sz="0" w:space="0" w:color="auto"/>
                    <w:bottom w:val="none" w:sz="0" w:space="0" w:color="auto"/>
                    <w:right w:val="none" w:sz="0" w:space="0" w:color="auto"/>
                  </w:divBdr>
                  <w:divsChild>
                    <w:div w:id="1746219299">
                      <w:marLeft w:val="0"/>
                      <w:marRight w:val="0"/>
                      <w:marTop w:val="0"/>
                      <w:marBottom w:val="0"/>
                      <w:divBdr>
                        <w:top w:val="none" w:sz="0" w:space="0" w:color="auto"/>
                        <w:left w:val="none" w:sz="0" w:space="0" w:color="auto"/>
                        <w:bottom w:val="none" w:sz="0" w:space="0" w:color="auto"/>
                        <w:right w:val="none" w:sz="0" w:space="0" w:color="auto"/>
                      </w:divBdr>
                    </w:div>
                  </w:divsChild>
                </w:div>
                <w:div w:id="715086966">
                  <w:marLeft w:val="0"/>
                  <w:marRight w:val="0"/>
                  <w:marTop w:val="0"/>
                  <w:marBottom w:val="0"/>
                  <w:divBdr>
                    <w:top w:val="none" w:sz="0" w:space="0" w:color="auto"/>
                    <w:left w:val="none" w:sz="0" w:space="0" w:color="auto"/>
                    <w:bottom w:val="none" w:sz="0" w:space="0" w:color="auto"/>
                    <w:right w:val="none" w:sz="0" w:space="0" w:color="auto"/>
                  </w:divBdr>
                  <w:divsChild>
                    <w:div w:id="1470705138">
                      <w:marLeft w:val="0"/>
                      <w:marRight w:val="0"/>
                      <w:marTop w:val="0"/>
                      <w:marBottom w:val="0"/>
                      <w:divBdr>
                        <w:top w:val="none" w:sz="0" w:space="0" w:color="auto"/>
                        <w:left w:val="none" w:sz="0" w:space="0" w:color="auto"/>
                        <w:bottom w:val="none" w:sz="0" w:space="0" w:color="auto"/>
                        <w:right w:val="none" w:sz="0" w:space="0" w:color="auto"/>
                      </w:divBdr>
                    </w:div>
                  </w:divsChild>
                </w:div>
                <w:div w:id="2066374286">
                  <w:marLeft w:val="0"/>
                  <w:marRight w:val="0"/>
                  <w:marTop w:val="0"/>
                  <w:marBottom w:val="0"/>
                  <w:divBdr>
                    <w:top w:val="none" w:sz="0" w:space="0" w:color="auto"/>
                    <w:left w:val="none" w:sz="0" w:space="0" w:color="auto"/>
                    <w:bottom w:val="none" w:sz="0" w:space="0" w:color="auto"/>
                    <w:right w:val="none" w:sz="0" w:space="0" w:color="auto"/>
                  </w:divBdr>
                  <w:divsChild>
                    <w:div w:id="1161387565">
                      <w:marLeft w:val="0"/>
                      <w:marRight w:val="0"/>
                      <w:marTop w:val="0"/>
                      <w:marBottom w:val="0"/>
                      <w:divBdr>
                        <w:top w:val="none" w:sz="0" w:space="0" w:color="auto"/>
                        <w:left w:val="none" w:sz="0" w:space="0" w:color="auto"/>
                        <w:bottom w:val="none" w:sz="0" w:space="0" w:color="auto"/>
                        <w:right w:val="none" w:sz="0" w:space="0" w:color="auto"/>
                      </w:divBdr>
                    </w:div>
                  </w:divsChild>
                </w:div>
                <w:div w:id="2086216442">
                  <w:marLeft w:val="0"/>
                  <w:marRight w:val="0"/>
                  <w:marTop w:val="0"/>
                  <w:marBottom w:val="0"/>
                  <w:divBdr>
                    <w:top w:val="none" w:sz="0" w:space="0" w:color="auto"/>
                    <w:left w:val="none" w:sz="0" w:space="0" w:color="auto"/>
                    <w:bottom w:val="none" w:sz="0" w:space="0" w:color="auto"/>
                    <w:right w:val="none" w:sz="0" w:space="0" w:color="auto"/>
                  </w:divBdr>
                  <w:divsChild>
                    <w:div w:id="4965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8852">
      <w:bodyDiv w:val="1"/>
      <w:marLeft w:val="0"/>
      <w:marRight w:val="0"/>
      <w:marTop w:val="0"/>
      <w:marBottom w:val="0"/>
      <w:divBdr>
        <w:top w:val="none" w:sz="0" w:space="0" w:color="auto"/>
        <w:left w:val="none" w:sz="0" w:space="0" w:color="auto"/>
        <w:bottom w:val="none" w:sz="0" w:space="0" w:color="auto"/>
        <w:right w:val="none" w:sz="0" w:space="0" w:color="auto"/>
      </w:divBdr>
      <w:divsChild>
        <w:div w:id="549802970">
          <w:marLeft w:val="0"/>
          <w:marRight w:val="0"/>
          <w:marTop w:val="0"/>
          <w:marBottom w:val="0"/>
          <w:divBdr>
            <w:top w:val="none" w:sz="0" w:space="0" w:color="auto"/>
            <w:left w:val="none" w:sz="0" w:space="0" w:color="auto"/>
            <w:bottom w:val="none" w:sz="0" w:space="0" w:color="auto"/>
            <w:right w:val="none" w:sz="0" w:space="0" w:color="auto"/>
          </w:divBdr>
        </w:div>
        <w:div w:id="1912158885">
          <w:marLeft w:val="0"/>
          <w:marRight w:val="0"/>
          <w:marTop w:val="0"/>
          <w:marBottom w:val="0"/>
          <w:divBdr>
            <w:top w:val="none" w:sz="0" w:space="0" w:color="auto"/>
            <w:left w:val="none" w:sz="0" w:space="0" w:color="auto"/>
            <w:bottom w:val="none" w:sz="0" w:space="0" w:color="auto"/>
            <w:right w:val="none" w:sz="0" w:space="0" w:color="auto"/>
          </w:divBdr>
        </w:div>
        <w:div w:id="903951701">
          <w:marLeft w:val="0"/>
          <w:marRight w:val="0"/>
          <w:marTop w:val="0"/>
          <w:marBottom w:val="0"/>
          <w:divBdr>
            <w:top w:val="none" w:sz="0" w:space="0" w:color="auto"/>
            <w:left w:val="none" w:sz="0" w:space="0" w:color="auto"/>
            <w:bottom w:val="none" w:sz="0" w:space="0" w:color="auto"/>
            <w:right w:val="none" w:sz="0" w:space="0" w:color="auto"/>
          </w:divBdr>
        </w:div>
        <w:div w:id="1873611748">
          <w:marLeft w:val="0"/>
          <w:marRight w:val="0"/>
          <w:marTop w:val="0"/>
          <w:marBottom w:val="0"/>
          <w:divBdr>
            <w:top w:val="none" w:sz="0" w:space="0" w:color="auto"/>
            <w:left w:val="none" w:sz="0" w:space="0" w:color="auto"/>
            <w:bottom w:val="none" w:sz="0" w:space="0" w:color="auto"/>
            <w:right w:val="none" w:sz="0" w:space="0" w:color="auto"/>
          </w:divBdr>
        </w:div>
        <w:div w:id="386686753">
          <w:marLeft w:val="0"/>
          <w:marRight w:val="0"/>
          <w:marTop w:val="0"/>
          <w:marBottom w:val="0"/>
          <w:divBdr>
            <w:top w:val="none" w:sz="0" w:space="0" w:color="auto"/>
            <w:left w:val="none" w:sz="0" w:space="0" w:color="auto"/>
            <w:bottom w:val="none" w:sz="0" w:space="0" w:color="auto"/>
            <w:right w:val="none" w:sz="0" w:space="0" w:color="auto"/>
          </w:divBdr>
        </w:div>
      </w:divsChild>
    </w:div>
    <w:div w:id="122386315">
      <w:bodyDiv w:val="1"/>
      <w:marLeft w:val="0"/>
      <w:marRight w:val="0"/>
      <w:marTop w:val="0"/>
      <w:marBottom w:val="0"/>
      <w:divBdr>
        <w:top w:val="none" w:sz="0" w:space="0" w:color="auto"/>
        <w:left w:val="none" w:sz="0" w:space="0" w:color="auto"/>
        <w:bottom w:val="none" w:sz="0" w:space="0" w:color="auto"/>
        <w:right w:val="none" w:sz="0" w:space="0" w:color="auto"/>
      </w:divBdr>
      <w:divsChild>
        <w:div w:id="786318227">
          <w:marLeft w:val="0"/>
          <w:marRight w:val="0"/>
          <w:marTop w:val="0"/>
          <w:marBottom w:val="0"/>
          <w:divBdr>
            <w:top w:val="none" w:sz="0" w:space="0" w:color="auto"/>
            <w:left w:val="none" w:sz="0" w:space="0" w:color="auto"/>
            <w:bottom w:val="none" w:sz="0" w:space="0" w:color="auto"/>
            <w:right w:val="none" w:sz="0" w:space="0" w:color="auto"/>
          </w:divBdr>
        </w:div>
        <w:div w:id="2084522623">
          <w:marLeft w:val="0"/>
          <w:marRight w:val="0"/>
          <w:marTop w:val="0"/>
          <w:marBottom w:val="0"/>
          <w:divBdr>
            <w:top w:val="none" w:sz="0" w:space="0" w:color="auto"/>
            <w:left w:val="none" w:sz="0" w:space="0" w:color="auto"/>
            <w:bottom w:val="none" w:sz="0" w:space="0" w:color="auto"/>
            <w:right w:val="none" w:sz="0" w:space="0" w:color="auto"/>
          </w:divBdr>
        </w:div>
        <w:div w:id="1994681338">
          <w:marLeft w:val="0"/>
          <w:marRight w:val="0"/>
          <w:marTop w:val="0"/>
          <w:marBottom w:val="0"/>
          <w:divBdr>
            <w:top w:val="none" w:sz="0" w:space="0" w:color="auto"/>
            <w:left w:val="none" w:sz="0" w:space="0" w:color="auto"/>
            <w:bottom w:val="none" w:sz="0" w:space="0" w:color="auto"/>
            <w:right w:val="none" w:sz="0" w:space="0" w:color="auto"/>
          </w:divBdr>
        </w:div>
        <w:div w:id="771513389">
          <w:marLeft w:val="0"/>
          <w:marRight w:val="0"/>
          <w:marTop w:val="0"/>
          <w:marBottom w:val="0"/>
          <w:divBdr>
            <w:top w:val="none" w:sz="0" w:space="0" w:color="auto"/>
            <w:left w:val="none" w:sz="0" w:space="0" w:color="auto"/>
            <w:bottom w:val="none" w:sz="0" w:space="0" w:color="auto"/>
            <w:right w:val="none" w:sz="0" w:space="0" w:color="auto"/>
          </w:divBdr>
        </w:div>
        <w:div w:id="980771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uwicac.sharepoint.com/sites/Secretariat" TargetMode="External"/><Relationship Id="rId18" Type="http://schemas.openxmlformats.org/officeDocument/2006/relationships/hyperlink" Target="https://www.gov.uk/guidance/relocation-expenses-480-appendix-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strange@cardiffmet.ac.uk" TargetMode="External"/><Relationship Id="rId17" Type="http://schemas.openxmlformats.org/officeDocument/2006/relationships/hyperlink" Target="mailto:payroll@cardiffmet.ac.uk" TargetMode="External"/><Relationship Id="rId2" Type="http://schemas.openxmlformats.org/officeDocument/2006/relationships/customXml" Target="../customXml/item2.xml"/><Relationship Id="rId16" Type="http://schemas.openxmlformats.org/officeDocument/2006/relationships/hyperlink" Target="mailto:payroll@cardiffmet.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olicies@cardiffmet.ac.uk" TargetMode="External"/><Relationship Id="rId10" Type="http://schemas.openxmlformats.org/officeDocument/2006/relationships/endnotes" Target="endnotes.xml"/><Relationship Id="rId19" Type="http://schemas.openxmlformats.org/officeDocument/2006/relationships/hyperlink" Target="mailto:payroll@cardiffmet.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about/policyhu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Props1.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7950EB77-A8AD-46D3-9CB9-B1340DFB6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2308</Words>
  <Characters>13158</Characters>
  <Application>Microsoft Office Word</Application>
  <DocSecurity>0</DocSecurity>
  <Lines>109</Lines>
  <Paragraphs>30</Paragraphs>
  <ScaleCrop>false</ScaleCrop>
  <Company>Cardiff Metropolitan University</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4</cp:revision>
  <dcterms:created xsi:type="dcterms:W3CDTF">2024-12-03T10:50:00Z</dcterms:created>
  <dcterms:modified xsi:type="dcterms:W3CDTF">2025-09-12T09:37:00Z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