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3EFF63F2" w:rsidR="004E359C" w:rsidRDefault="00917AE3" w:rsidP="004E359C">
      <w:pPr>
        <w:pStyle w:val="Title"/>
        <w:jc w:val="center"/>
      </w:pPr>
      <w:bookmarkStart w:id="0" w:name="_Toc75950285"/>
      <w:bookmarkStart w:id="1" w:name="_Toc75950366"/>
      <w:bookmarkStart w:id="2" w:name="_Toc77936657"/>
      <w:r>
        <w:t>7</w:t>
      </w:r>
      <w:r w:rsidR="004E359C">
        <w:t>.</w:t>
      </w:r>
      <w:r>
        <w:t>1</w:t>
      </w:r>
      <w:r w:rsidR="004E359C">
        <w:t>0</w:t>
      </w:r>
    </w:p>
    <w:p w14:paraId="5EF568D5" w14:textId="64F0FB58" w:rsidR="004E359C" w:rsidRDefault="00917AE3" w:rsidP="004E359C">
      <w:pPr>
        <w:pStyle w:val="Title"/>
        <w:jc w:val="center"/>
      </w:pPr>
      <w:r>
        <w:t>PROCEDURE FOR THE CONDUCT OF AN APPEAL HEARING</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202"/>
        <w:gridCol w:w="433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57C7A9C3" w:rsidR="008C01F1" w:rsidRPr="00D9301C" w:rsidRDefault="00917AE3" w:rsidP="0041561E">
            <w:pPr>
              <w:rPr>
                <w:rStyle w:val="SubtleEmphasis"/>
              </w:rPr>
            </w:pPr>
            <w:r>
              <w:rPr>
                <w:rStyle w:val="SubtleEmphasis"/>
              </w:rPr>
              <w:t>Procedure for the Conduct of an Appeal Hearing</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388E22E9" w:rsidR="008C01F1" w:rsidRPr="00D9301C" w:rsidRDefault="00917AE3" w:rsidP="0041561E">
            <w:pPr>
              <w:rPr>
                <w:rStyle w:val="SubtleEmphasis"/>
              </w:rPr>
            </w:pPr>
            <w:r>
              <w:rPr>
                <w:rStyle w:val="SubtleEmphasis"/>
              </w:rPr>
              <w:t>14 Aug 2007</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35EA9F80" w:rsidR="008C01F1" w:rsidRPr="00D9301C" w:rsidRDefault="004E359C" w:rsidP="0041561E">
            <w:pPr>
              <w:rPr>
                <w:rStyle w:val="SubtleEmphasis"/>
              </w:rPr>
            </w:pPr>
            <w:r>
              <w:rPr>
                <w:rStyle w:val="SubtleEmphasis"/>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47FA250F" w:rsidR="008C01F1" w:rsidRPr="00D9301C" w:rsidRDefault="00917AE3" w:rsidP="0041561E">
            <w:pPr>
              <w:rPr>
                <w:rStyle w:val="SubtleEmphasis"/>
              </w:rPr>
            </w:pPr>
            <w:r>
              <w:rPr>
                <w:rStyle w:val="SubtleEmphasis"/>
              </w:rPr>
              <w:t>2</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45DBE822" w:rsidR="008C01F1" w:rsidRPr="00D9301C" w:rsidRDefault="00917AE3" w:rsidP="0041561E">
            <w:pPr>
              <w:rPr>
                <w:rStyle w:val="SubtleEmphasis"/>
              </w:rPr>
            </w:pPr>
            <w:r>
              <w:rPr>
                <w:rStyle w:val="SubtleEmphasis"/>
              </w:rPr>
              <w:t>Sep 2008</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0D04B060" w:rsidR="008C01F1" w:rsidRPr="00D9301C" w:rsidRDefault="008C01F1" w:rsidP="0041561E">
            <w:pPr>
              <w:rPr>
                <w:rStyle w:val="SubtleEmphasis"/>
              </w:rPr>
            </w:pP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2713D728" w:rsidR="008C01F1" w:rsidRPr="00D9301C" w:rsidRDefault="008C01F1" w:rsidP="0041561E">
            <w:pPr>
              <w:rPr>
                <w:rStyle w:val="SubtleEmphasis"/>
              </w:rPr>
            </w:pPr>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6BF350D1" w:rsidR="00917AE3" w:rsidRPr="00D9301C" w:rsidRDefault="00917AE3" w:rsidP="00917AE3">
            <w:pPr>
              <w:rPr>
                <w:rStyle w:val="SubtleEmphasis"/>
              </w:rPr>
            </w:pPr>
            <w:r>
              <w:rPr>
                <w:rStyle w:val="SubtleEmphasis"/>
              </w:rPr>
              <w:t>14 Aug 2007</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6B203BF" w:rsidR="008C01F1" w:rsidRPr="00D9301C" w:rsidRDefault="00BA387B" w:rsidP="0041561E">
            <w:pPr>
              <w:rPr>
                <w:rStyle w:val="SubtleEmphasis"/>
              </w:rPr>
            </w:pPr>
            <w:r>
              <w:rPr>
                <w:rStyle w:val="SubtleEmphasis"/>
              </w:rPr>
              <w:t>Director of Registry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792"/>
        <w:gridCol w:w="2019"/>
        <w:gridCol w:w="4729"/>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6B6FFA47" w:rsidR="008C01F1" w:rsidRPr="00CD441C" w:rsidRDefault="008C01F1" w:rsidP="0041561E">
            <w:pPr>
              <w:rPr>
                <w:rStyle w:val="SubtleEmphasis"/>
              </w:rPr>
            </w:pPr>
          </w:p>
        </w:tc>
        <w:tc>
          <w:tcPr>
            <w:tcW w:w="2126" w:type="dxa"/>
          </w:tcPr>
          <w:p w14:paraId="0B241FE6" w14:textId="1667F594" w:rsidR="008C01F1" w:rsidRPr="00CD441C" w:rsidRDefault="008C01F1" w:rsidP="0041561E">
            <w:pPr>
              <w:rPr>
                <w:rStyle w:val="SubtleEmphasis"/>
              </w:rPr>
            </w:pPr>
          </w:p>
        </w:tc>
        <w:tc>
          <w:tcPr>
            <w:tcW w:w="5052" w:type="dxa"/>
          </w:tcPr>
          <w:p w14:paraId="03E87587" w14:textId="797C9F4F" w:rsidR="008C01F1" w:rsidRPr="00CD441C" w:rsidRDefault="008C01F1" w:rsidP="0041561E">
            <w:pPr>
              <w:rPr>
                <w:rStyle w:val="SubtleEmphasis"/>
              </w:rPr>
            </w:pP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5D23E12B" w14:textId="77777777" w:rsidR="008C01F1" w:rsidRPr="008C01F1" w:rsidRDefault="008C01F1" w:rsidP="008C01F1">
      <w:pPr>
        <w:jc w:val="center"/>
        <w:rPr>
          <w:rFonts w:ascii="Arial" w:hAnsi="Arial" w:cs="Arial"/>
          <w:sz w:val="48"/>
          <w:szCs w:val="48"/>
        </w:rPr>
      </w:pPr>
    </w:p>
    <w:p w14:paraId="44820CBB" w14:textId="638083A2" w:rsidR="008C01F1" w:rsidRDefault="008C01F1"/>
    <w:p w14:paraId="259D951E" w14:textId="77777777" w:rsidR="00917AE3" w:rsidRDefault="00917AE3" w:rsidP="00917AE3">
      <w:pPr>
        <w:pStyle w:val="Title"/>
      </w:pPr>
      <w:r>
        <w:lastRenderedPageBreak/>
        <w:t>Procedure for the Conduct of an Appeal Hearing</w:t>
      </w:r>
    </w:p>
    <w:p w14:paraId="296E53D3" w14:textId="77777777" w:rsidR="00917AE3" w:rsidRDefault="00917AE3" w:rsidP="00917AE3">
      <w:pPr>
        <w:pStyle w:val="BodyText"/>
        <w:rPr>
          <w:b/>
          <w:i/>
          <w:sz w:val="26"/>
        </w:rPr>
      </w:pPr>
    </w:p>
    <w:p w14:paraId="7B485E97" w14:textId="6744C976" w:rsidR="00917AE3" w:rsidRPr="00917AE3" w:rsidRDefault="00917AE3" w:rsidP="00917AE3">
      <w:pPr>
        <w:pStyle w:val="Heading1"/>
        <w:numPr>
          <w:ilvl w:val="0"/>
          <w:numId w:val="0"/>
        </w:numPr>
        <w:ind w:left="431"/>
        <w:rPr>
          <w:rFonts w:ascii="Arial" w:hAnsi="Arial" w:cs="Arial"/>
          <w:color w:val="auto"/>
        </w:rPr>
      </w:pPr>
      <w:r w:rsidRPr="00917AE3">
        <w:rPr>
          <w:rFonts w:ascii="Arial" w:hAnsi="Arial" w:cs="Arial"/>
          <w:color w:val="auto"/>
          <w:sz w:val="24"/>
        </w:rPr>
        <w:t>Throughout this section, the use of the term ‘Board’ should be taken to refer to a Cardiff Metropolitan University Appeal Board.</w:t>
      </w:r>
    </w:p>
    <w:p w14:paraId="2261BDB2" w14:textId="77777777" w:rsidR="00917AE3" w:rsidRDefault="00917AE3" w:rsidP="00917AE3">
      <w:pPr>
        <w:pStyle w:val="BodyText"/>
        <w:rPr>
          <w:i/>
        </w:rPr>
      </w:pPr>
    </w:p>
    <w:p w14:paraId="1AB70C70" w14:textId="77777777" w:rsidR="00917AE3" w:rsidRDefault="00917AE3" w:rsidP="00917AE3">
      <w:pPr>
        <w:pStyle w:val="ListParagraph"/>
        <w:numPr>
          <w:ilvl w:val="0"/>
          <w:numId w:val="2"/>
        </w:numPr>
        <w:tabs>
          <w:tab w:val="left" w:pos="841"/>
        </w:tabs>
        <w:ind w:right="116" w:hanging="720"/>
        <w:jc w:val="both"/>
        <w:rPr>
          <w:sz w:val="24"/>
        </w:rPr>
      </w:pPr>
      <w:r>
        <w:rPr>
          <w:sz w:val="24"/>
        </w:rPr>
        <w:t>Members of the Board shall be briefed on the case by the Secretary in writing and, if necessary, orally, prior to the commencement of the hearing. However, where an appellant has indicated that he/she will be attending the hearing, there shall be no discussion of the case itself prior to the appearance of the</w:t>
      </w:r>
      <w:r>
        <w:rPr>
          <w:spacing w:val="-25"/>
          <w:sz w:val="24"/>
        </w:rPr>
        <w:t xml:space="preserve"> </w:t>
      </w:r>
      <w:r>
        <w:rPr>
          <w:sz w:val="24"/>
        </w:rPr>
        <w:t>appellant.</w:t>
      </w:r>
    </w:p>
    <w:p w14:paraId="7B64F60E" w14:textId="77777777" w:rsidR="00917AE3" w:rsidRDefault="00917AE3" w:rsidP="00917AE3">
      <w:pPr>
        <w:pStyle w:val="BodyText"/>
        <w:spacing w:before="9"/>
        <w:rPr>
          <w:sz w:val="23"/>
        </w:rPr>
      </w:pPr>
    </w:p>
    <w:p w14:paraId="6B408154" w14:textId="77777777" w:rsidR="00917AE3" w:rsidRDefault="00917AE3" w:rsidP="00917AE3">
      <w:pPr>
        <w:pStyle w:val="ListParagraph"/>
        <w:numPr>
          <w:ilvl w:val="0"/>
          <w:numId w:val="2"/>
        </w:numPr>
        <w:tabs>
          <w:tab w:val="left" w:pos="841"/>
        </w:tabs>
        <w:spacing w:before="1"/>
        <w:ind w:right="115" w:hanging="720"/>
        <w:jc w:val="both"/>
        <w:rPr>
          <w:sz w:val="24"/>
        </w:rPr>
      </w:pPr>
      <w:r>
        <w:rPr>
          <w:sz w:val="24"/>
        </w:rPr>
        <w:t>Where the appellant is attending, the Chair of the Board shall ask the appellant and any other persons present to identify themselves and shall determine that any individual who is accompanying the appellant is able to satisfy the stipulations in the relevant Appeals</w:t>
      </w:r>
      <w:r>
        <w:rPr>
          <w:spacing w:val="-33"/>
          <w:sz w:val="24"/>
        </w:rPr>
        <w:t xml:space="preserve"> </w:t>
      </w:r>
      <w:r>
        <w:rPr>
          <w:sz w:val="24"/>
        </w:rPr>
        <w:t>Procedure.</w:t>
      </w:r>
    </w:p>
    <w:p w14:paraId="24AE524D" w14:textId="77777777" w:rsidR="00917AE3" w:rsidRDefault="00917AE3" w:rsidP="00917AE3">
      <w:pPr>
        <w:pStyle w:val="BodyText"/>
      </w:pPr>
    </w:p>
    <w:p w14:paraId="4E982545" w14:textId="77777777" w:rsidR="00917AE3" w:rsidRDefault="00917AE3" w:rsidP="00917AE3">
      <w:pPr>
        <w:pStyle w:val="ListParagraph"/>
        <w:numPr>
          <w:ilvl w:val="0"/>
          <w:numId w:val="2"/>
        </w:numPr>
        <w:tabs>
          <w:tab w:val="left" w:pos="840"/>
          <w:tab w:val="left" w:pos="841"/>
        </w:tabs>
        <w:ind w:hanging="720"/>
        <w:rPr>
          <w:sz w:val="24"/>
        </w:rPr>
      </w:pPr>
      <w:r>
        <w:rPr>
          <w:sz w:val="24"/>
        </w:rPr>
        <w:t>The Chair of the Board shall</w:t>
      </w:r>
      <w:r>
        <w:rPr>
          <w:spacing w:val="-19"/>
          <w:sz w:val="24"/>
        </w:rPr>
        <w:t xml:space="preserve"> </w:t>
      </w:r>
      <w:r>
        <w:rPr>
          <w:sz w:val="24"/>
        </w:rPr>
        <w:t>then</w:t>
      </w:r>
    </w:p>
    <w:p w14:paraId="3DDAA4FA" w14:textId="77777777" w:rsidR="00917AE3" w:rsidRDefault="00917AE3" w:rsidP="00917AE3">
      <w:pPr>
        <w:pStyle w:val="BodyText"/>
        <w:spacing w:before="10"/>
        <w:rPr>
          <w:sz w:val="23"/>
        </w:rPr>
      </w:pPr>
    </w:p>
    <w:p w14:paraId="07F7EDA8" w14:textId="77777777" w:rsidR="00917AE3" w:rsidRDefault="00917AE3" w:rsidP="00917AE3">
      <w:pPr>
        <w:pStyle w:val="ListParagraph"/>
        <w:numPr>
          <w:ilvl w:val="2"/>
          <w:numId w:val="5"/>
        </w:numPr>
        <w:tabs>
          <w:tab w:val="left" w:pos="1560"/>
          <w:tab w:val="left" w:pos="1561"/>
        </w:tabs>
        <w:rPr>
          <w:sz w:val="24"/>
        </w:rPr>
      </w:pPr>
      <w:r>
        <w:rPr>
          <w:sz w:val="24"/>
        </w:rPr>
        <w:t>introduce the members of the Board and other persons</w:t>
      </w:r>
      <w:r>
        <w:rPr>
          <w:spacing w:val="-30"/>
          <w:sz w:val="24"/>
        </w:rPr>
        <w:t xml:space="preserve"> </w:t>
      </w:r>
      <w:r>
        <w:rPr>
          <w:sz w:val="24"/>
        </w:rPr>
        <w:t>present;</w:t>
      </w:r>
    </w:p>
    <w:p w14:paraId="4D64E98C" w14:textId="77777777" w:rsidR="00917AE3" w:rsidRDefault="00917AE3" w:rsidP="00917AE3">
      <w:pPr>
        <w:pStyle w:val="BodyText"/>
      </w:pPr>
    </w:p>
    <w:p w14:paraId="33607D72" w14:textId="77777777" w:rsidR="00917AE3" w:rsidRDefault="00917AE3" w:rsidP="00917AE3">
      <w:pPr>
        <w:pStyle w:val="ListParagraph"/>
        <w:numPr>
          <w:ilvl w:val="2"/>
          <w:numId w:val="5"/>
        </w:numPr>
        <w:tabs>
          <w:tab w:val="left" w:pos="1561"/>
        </w:tabs>
        <w:ind w:right="115"/>
        <w:rPr>
          <w:sz w:val="24"/>
        </w:rPr>
      </w:pPr>
      <w:r>
        <w:rPr>
          <w:sz w:val="24"/>
        </w:rPr>
        <w:t>explain the eligible grounds for appeal, including a reminder that appeals which question the academic judgment of the  examiners cannot be</w:t>
      </w:r>
      <w:r>
        <w:rPr>
          <w:spacing w:val="-16"/>
          <w:sz w:val="24"/>
        </w:rPr>
        <w:t xml:space="preserve"> </w:t>
      </w:r>
      <w:r>
        <w:rPr>
          <w:sz w:val="24"/>
        </w:rPr>
        <w:t>considered;</w:t>
      </w:r>
    </w:p>
    <w:p w14:paraId="17B9533C" w14:textId="77777777" w:rsidR="00917AE3" w:rsidRDefault="00917AE3" w:rsidP="00917AE3">
      <w:pPr>
        <w:pStyle w:val="BodyText"/>
        <w:spacing w:before="10"/>
        <w:rPr>
          <w:sz w:val="23"/>
        </w:rPr>
      </w:pPr>
    </w:p>
    <w:p w14:paraId="3BBAEFF3" w14:textId="77777777" w:rsidR="00917AE3" w:rsidRDefault="00917AE3" w:rsidP="00917AE3">
      <w:pPr>
        <w:pStyle w:val="ListParagraph"/>
        <w:numPr>
          <w:ilvl w:val="2"/>
          <w:numId w:val="5"/>
        </w:numPr>
        <w:tabs>
          <w:tab w:val="left" w:pos="1560"/>
          <w:tab w:val="left" w:pos="1561"/>
        </w:tabs>
        <w:rPr>
          <w:sz w:val="24"/>
        </w:rPr>
      </w:pPr>
      <w:r>
        <w:rPr>
          <w:sz w:val="24"/>
        </w:rPr>
        <w:t>state the possible decisions available to the</w:t>
      </w:r>
      <w:r>
        <w:rPr>
          <w:spacing w:val="-22"/>
          <w:sz w:val="24"/>
        </w:rPr>
        <w:t xml:space="preserve"> </w:t>
      </w:r>
      <w:r>
        <w:rPr>
          <w:sz w:val="24"/>
        </w:rPr>
        <w:t>Board;</w:t>
      </w:r>
    </w:p>
    <w:p w14:paraId="0D941E3D" w14:textId="77777777" w:rsidR="00917AE3" w:rsidRDefault="00917AE3" w:rsidP="00917AE3">
      <w:pPr>
        <w:pStyle w:val="BodyText"/>
        <w:spacing w:before="11"/>
        <w:rPr>
          <w:sz w:val="23"/>
        </w:rPr>
      </w:pPr>
    </w:p>
    <w:p w14:paraId="0658BF4A" w14:textId="77777777" w:rsidR="00917AE3" w:rsidRDefault="00917AE3" w:rsidP="00917AE3">
      <w:pPr>
        <w:pStyle w:val="ListParagraph"/>
        <w:numPr>
          <w:ilvl w:val="2"/>
          <w:numId w:val="5"/>
        </w:numPr>
        <w:tabs>
          <w:tab w:val="left" w:pos="1560"/>
          <w:tab w:val="left" w:pos="1561"/>
        </w:tabs>
        <w:rPr>
          <w:sz w:val="24"/>
        </w:rPr>
      </w:pPr>
      <w:r>
        <w:rPr>
          <w:sz w:val="24"/>
        </w:rPr>
        <w:t>explain the sequence of events should the appeal be</w:t>
      </w:r>
      <w:r>
        <w:rPr>
          <w:spacing w:val="-38"/>
          <w:sz w:val="24"/>
        </w:rPr>
        <w:t xml:space="preserve"> </w:t>
      </w:r>
      <w:r>
        <w:rPr>
          <w:sz w:val="24"/>
        </w:rPr>
        <w:t>upheld;</w:t>
      </w:r>
    </w:p>
    <w:p w14:paraId="15AF250B" w14:textId="77777777" w:rsidR="00917AE3" w:rsidRDefault="00917AE3" w:rsidP="00917AE3">
      <w:pPr>
        <w:pStyle w:val="BodyText"/>
        <w:spacing w:before="11"/>
        <w:rPr>
          <w:sz w:val="23"/>
        </w:rPr>
      </w:pPr>
    </w:p>
    <w:p w14:paraId="7B2CE272" w14:textId="77777777" w:rsidR="00917AE3" w:rsidRDefault="00917AE3" w:rsidP="00917AE3">
      <w:pPr>
        <w:pStyle w:val="ListParagraph"/>
        <w:numPr>
          <w:ilvl w:val="2"/>
          <w:numId w:val="5"/>
        </w:numPr>
        <w:tabs>
          <w:tab w:val="left" w:pos="1560"/>
          <w:tab w:val="left" w:pos="1561"/>
        </w:tabs>
        <w:rPr>
          <w:sz w:val="24"/>
        </w:rPr>
      </w:pPr>
      <w:r>
        <w:rPr>
          <w:sz w:val="24"/>
        </w:rPr>
        <w:t>explain the subsequent right of independent review by the</w:t>
      </w:r>
      <w:r>
        <w:rPr>
          <w:spacing w:val="-30"/>
          <w:sz w:val="24"/>
        </w:rPr>
        <w:t xml:space="preserve"> </w:t>
      </w:r>
      <w:r>
        <w:rPr>
          <w:sz w:val="24"/>
        </w:rPr>
        <w:t>OIA.</w:t>
      </w:r>
    </w:p>
    <w:p w14:paraId="03F82C40" w14:textId="77777777" w:rsidR="00917AE3" w:rsidRDefault="00917AE3" w:rsidP="00917AE3">
      <w:pPr>
        <w:pStyle w:val="BodyText"/>
        <w:spacing w:before="10"/>
        <w:rPr>
          <w:sz w:val="23"/>
        </w:rPr>
      </w:pPr>
    </w:p>
    <w:p w14:paraId="62C6380A" w14:textId="5EFD9E0D" w:rsidR="00917AE3" w:rsidRDefault="00917AE3" w:rsidP="00917AE3">
      <w:pPr>
        <w:pStyle w:val="ListParagraph"/>
        <w:numPr>
          <w:ilvl w:val="0"/>
          <w:numId w:val="2"/>
        </w:numPr>
        <w:tabs>
          <w:tab w:val="left" w:pos="841"/>
        </w:tabs>
        <w:ind w:right="121" w:hanging="720"/>
        <w:jc w:val="both"/>
        <w:rPr>
          <w:sz w:val="24"/>
        </w:rPr>
      </w:pPr>
      <w:r>
        <w:rPr>
          <w:sz w:val="24"/>
        </w:rPr>
        <w:t>The Chair shall invite the appellant to present the case, summarising the main points so that all present have a common understanding of the basis of the case, and to raise any issues for</w:t>
      </w:r>
      <w:r>
        <w:rPr>
          <w:spacing w:val="-23"/>
          <w:sz w:val="24"/>
        </w:rPr>
        <w:t xml:space="preserve"> </w:t>
      </w:r>
      <w:r>
        <w:rPr>
          <w:sz w:val="24"/>
        </w:rPr>
        <w:t>clarification.</w:t>
      </w:r>
    </w:p>
    <w:p w14:paraId="6960B896" w14:textId="77777777" w:rsidR="00917AE3" w:rsidRDefault="00917AE3" w:rsidP="00917AE3">
      <w:pPr>
        <w:pStyle w:val="BodyText"/>
        <w:spacing w:before="11"/>
        <w:rPr>
          <w:sz w:val="23"/>
        </w:rPr>
      </w:pPr>
    </w:p>
    <w:p w14:paraId="3E965458" w14:textId="42A539C1" w:rsidR="00917AE3" w:rsidRDefault="00917AE3" w:rsidP="00917AE3">
      <w:pPr>
        <w:pStyle w:val="ListParagraph"/>
        <w:numPr>
          <w:ilvl w:val="0"/>
          <w:numId w:val="2"/>
        </w:numPr>
        <w:tabs>
          <w:tab w:val="left" w:pos="841"/>
        </w:tabs>
        <w:ind w:right="113" w:hanging="720"/>
        <w:jc w:val="both"/>
        <w:rPr>
          <w:sz w:val="24"/>
        </w:rPr>
      </w:pPr>
      <w:r>
        <w:rPr>
          <w:sz w:val="24"/>
        </w:rPr>
        <w:t>Once the appellant has concluded his/her presentation, members of the Board may ask questions and explore areas of interest or concern. When all members of the Board are satisfied, the appellant shall be invited to add any further points which he/she may wish to bring to the attention of the Board, and the individual accompanying the appellant shall be invited to speak in support of the</w:t>
      </w:r>
      <w:r>
        <w:rPr>
          <w:spacing w:val="-26"/>
          <w:sz w:val="24"/>
        </w:rPr>
        <w:t xml:space="preserve"> </w:t>
      </w:r>
      <w:r>
        <w:rPr>
          <w:sz w:val="24"/>
        </w:rPr>
        <w:t>case.</w:t>
      </w:r>
    </w:p>
    <w:p w14:paraId="282E857E" w14:textId="77777777" w:rsidR="00917AE3" w:rsidRDefault="00917AE3" w:rsidP="00917AE3">
      <w:pPr>
        <w:pStyle w:val="BodyText"/>
        <w:spacing w:before="11"/>
        <w:rPr>
          <w:sz w:val="23"/>
        </w:rPr>
      </w:pPr>
    </w:p>
    <w:p w14:paraId="1BC3FE3B" w14:textId="77777777" w:rsidR="00917AE3" w:rsidRDefault="00917AE3" w:rsidP="00917AE3">
      <w:pPr>
        <w:pStyle w:val="ListParagraph"/>
        <w:numPr>
          <w:ilvl w:val="0"/>
          <w:numId w:val="2"/>
        </w:numPr>
        <w:tabs>
          <w:tab w:val="left" w:pos="841"/>
        </w:tabs>
        <w:ind w:right="118" w:hanging="720"/>
        <w:jc w:val="both"/>
        <w:rPr>
          <w:sz w:val="24"/>
        </w:rPr>
      </w:pPr>
      <w:r>
        <w:rPr>
          <w:sz w:val="24"/>
        </w:rPr>
        <w:t>The Board shall then interview any member of University staff who is attending the hearing. The member of staff shall be invited to present his/her views on the</w:t>
      </w:r>
      <w:r>
        <w:rPr>
          <w:spacing w:val="-14"/>
          <w:sz w:val="24"/>
        </w:rPr>
        <w:t xml:space="preserve"> </w:t>
      </w:r>
      <w:r>
        <w:rPr>
          <w:sz w:val="24"/>
        </w:rPr>
        <w:t>case.</w:t>
      </w:r>
    </w:p>
    <w:p w14:paraId="48FCCD8A" w14:textId="77777777" w:rsidR="00917AE3" w:rsidRDefault="00917AE3" w:rsidP="00917AE3">
      <w:pPr>
        <w:jc w:val="both"/>
        <w:rPr>
          <w:sz w:val="24"/>
        </w:rPr>
        <w:sectPr w:rsidR="00917AE3">
          <w:pgSz w:w="11910" w:h="16840"/>
          <w:pgMar w:top="1580" w:right="1680" w:bottom="1260" w:left="1680" w:header="0" w:footer="1080" w:gutter="0"/>
          <w:pgNumType w:start="2"/>
          <w:cols w:space="720"/>
        </w:sectPr>
      </w:pPr>
    </w:p>
    <w:p w14:paraId="2565F223" w14:textId="77777777" w:rsidR="00917AE3" w:rsidRDefault="00917AE3" w:rsidP="00917AE3">
      <w:pPr>
        <w:pStyle w:val="ListParagraph"/>
        <w:numPr>
          <w:ilvl w:val="0"/>
          <w:numId w:val="2"/>
        </w:numPr>
        <w:tabs>
          <w:tab w:val="left" w:pos="841"/>
        </w:tabs>
        <w:spacing w:before="77"/>
        <w:ind w:right="122" w:hanging="720"/>
        <w:jc w:val="both"/>
        <w:rPr>
          <w:sz w:val="24"/>
        </w:rPr>
      </w:pPr>
      <w:r>
        <w:rPr>
          <w:sz w:val="24"/>
        </w:rPr>
        <w:lastRenderedPageBreak/>
        <w:t>The appellant shall then be invited to respond to the evidence submitted by any member of staff attending and to add any further points.</w:t>
      </w:r>
    </w:p>
    <w:p w14:paraId="5306FBBC" w14:textId="77777777" w:rsidR="00917AE3" w:rsidRDefault="00917AE3" w:rsidP="00917AE3">
      <w:pPr>
        <w:pStyle w:val="BodyText"/>
      </w:pPr>
    </w:p>
    <w:p w14:paraId="4DF43F07" w14:textId="57A58391" w:rsidR="00917AE3" w:rsidRDefault="00917AE3" w:rsidP="00917AE3">
      <w:pPr>
        <w:pStyle w:val="ListParagraph"/>
        <w:numPr>
          <w:ilvl w:val="0"/>
          <w:numId w:val="2"/>
        </w:numPr>
        <w:tabs>
          <w:tab w:val="left" w:pos="841"/>
        </w:tabs>
        <w:ind w:right="113" w:hanging="720"/>
        <w:jc w:val="both"/>
        <w:rPr>
          <w:sz w:val="24"/>
        </w:rPr>
      </w:pPr>
      <w:r>
        <w:rPr>
          <w:sz w:val="24"/>
        </w:rPr>
        <w:t>In exceptional circumstances, as defined by the Appeal Board, the Chair may permit the appellant or a member of staff from the University to give evidence in the absence of the other party, provided that the other party shall be fully apprised by the Chair of the evidence so given.</w:t>
      </w:r>
    </w:p>
    <w:p w14:paraId="2E22C051" w14:textId="77777777" w:rsidR="00917AE3" w:rsidRDefault="00917AE3" w:rsidP="00917AE3">
      <w:pPr>
        <w:pStyle w:val="BodyText"/>
        <w:spacing w:before="10"/>
        <w:rPr>
          <w:sz w:val="23"/>
        </w:rPr>
      </w:pPr>
    </w:p>
    <w:p w14:paraId="0638B5ED" w14:textId="77777777" w:rsidR="00917AE3" w:rsidRDefault="00917AE3" w:rsidP="00917AE3">
      <w:pPr>
        <w:pStyle w:val="ListParagraph"/>
        <w:numPr>
          <w:ilvl w:val="0"/>
          <w:numId w:val="2"/>
        </w:numPr>
        <w:tabs>
          <w:tab w:val="left" w:pos="841"/>
        </w:tabs>
        <w:spacing w:before="1"/>
        <w:ind w:right="113" w:hanging="720"/>
        <w:jc w:val="both"/>
        <w:rPr>
          <w:sz w:val="24"/>
        </w:rPr>
      </w:pPr>
      <w:r>
        <w:rPr>
          <w:sz w:val="24"/>
        </w:rPr>
        <w:t>All parties other than members of the Board and the Secretary shall then be asked to withdraw and shall be informed of the timing and method of notification of the Board’s decision. The Board shall consider the evidence before it and reach its decision. The Secretary to the Board shall advise the Board on the options available to it, if appropriate.</w:t>
      </w:r>
    </w:p>
    <w:p w14:paraId="5446D151" w14:textId="77777777" w:rsidR="00917AE3" w:rsidRDefault="00917AE3"/>
    <w:p w14:paraId="4C2F412B" w14:textId="77777777" w:rsidR="008C01F1" w:rsidRDefault="008C01F1">
      <w:bookmarkStart w:id="3" w:name="_GoBack"/>
      <w:bookmarkEnd w:id="3"/>
    </w:p>
    <w:sectPr w:rsidR="008C01F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38707FAB" w:rsidR="007D4A31" w:rsidRDefault="007D4A31">
        <w:pPr>
          <w:pStyle w:val="Footer"/>
          <w:jc w:val="center"/>
        </w:pPr>
        <w:r>
          <w:fldChar w:fldCharType="begin"/>
        </w:r>
        <w:r>
          <w:instrText xml:space="preserve"> PAGE   \* MERGEFORMAT </w:instrText>
        </w:r>
        <w:r>
          <w:fldChar w:fldCharType="separate"/>
        </w:r>
        <w:r w:rsidR="008E16C3">
          <w:rPr>
            <w:noProof/>
          </w:rPr>
          <w:t>4</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C2018"/>
    <w:multiLevelType w:val="hybridMultilevel"/>
    <w:tmpl w:val="D2BC2686"/>
    <w:lvl w:ilvl="0" w:tplc="3C4223E8">
      <w:start w:val="1"/>
      <w:numFmt w:val="decimal"/>
      <w:lvlText w:val="%1."/>
      <w:lvlJc w:val="left"/>
      <w:pPr>
        <w:ind w:left="840" w:hanging="721"/>
        <w:jc w:val="left"/>
      </w:pPr>
      <w:rPr>
        <w:rFonts w:ascii="Arial" w:eastAsia="Arial" w:hAnsi="Arial" w:cs="Arial" w:hint="default"/>
        <w:w w:val="98"/>
        <w:sz w:val="24"/>
        <w:szCs w:val="24"/>
      </w:rPr>
    </w:lvl>
    <w:lvl w:ilvl="1" w:tplc="F2C28822">
      <w:start w:val="1"/>
      <w:numFmt w:val="decimal"/>
      <w:lvlText w:val=".%2"/>
      <w:lvlJc w:val="left"/>
      <w:pPr>
        <w:ind w:left="1560" w:hanging="720"/>
        <w:jc w:val="left"/>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1"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4E359C"/>
    <w:rsid w:val="006E5DBF"/>
    <w:rsid w:val="007022D6"/>
    <w:rsid w:val="00744300"/>
    <w:rsid w:val="007D4A31"/>
    <w:rsid w:val="008C01F1"/>
    <w:rsid w:val="008E16C3"/>
    <w:rsid w:val="00917AE3"/>
    <w:rsid w:val="00BA387B"/>
    <w:rsid w:val="00CA2FB5"/>
    <w:rsid w:val="00CC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1"/>
    <w:qFormat/>
    <w:rsid w:val="00917AE3"/>
    <w:pPr>
      <w:widowControl w:val="0"/>
      <w:autoSpaceDE w:val="0"/>
      <w:autoSpaceDN w:val="0"/>
      <w:spacing w:after="0" w:line="240" w:lineRule="auto"/>
      <w:ind w:left="840" w:hanging="720"/>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669F2716-B7DB-4942-9200-ED3B66639F7C}"/>
</file>

<file path=customXml/itemProps3.xml><?xml version="1.0" encoding="utf-8"?>
<ds:datastoreItem xmlns:ds="http://schemas.openxmlformats.org/officeDocument/2006/customXml" ds:itemID="{1ECB6B94-DC01-4F70-90E6-38475C5F971B}">
  <ds:schemaRefs>
    <ds:schemaRef ds:uri="http://schemas.microsoft.com/office/2006/documentManagement/types"/>
    <ds:schemaRef ds:uri="286e2e22-220c-4086-bbb8-16929b336d9d"/>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655c9394-2770-4d42-b33a-97094cd46204"/>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2</cp:revision>
  <dcterms:created xsi:type="dcterms:W3CDTF">2022-09-13T15:54:00Z</dcterms:created>
  <dcterms:modified xsi:type="dcterms:W3CDTF">2022-09-13T15:54:00Z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