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1DAB7A4C" w14:textId="037DD77B" w:rsidR="004E359C" w:rsidRDefault="00662835" w:rsidP="004E359C">
      <w:pPr>
        <w:pStyle w:val="Title"/>
        <w:jc w:val="center"/>
      </w:pPr>
      <w:bookmarkStart w:id="0" w:name="_Toc75950285"/>
      <w:bookmarkStart w:id="1" w:name="_Toc75950366"/>
      <w:bookmarkStart w:id="2" w:name="_Toc77936657"/>
      <w:r>
        <w:t>2</w:t>
      </w:r>
      <w:r w:rsidR="004E359C">
        <w:t>.</w:t>
      </w:r>
      <w:r w:rsidR="00BC0D94">
        <w:t>3</w:t>
      </w:r>
    </w:p>
    <w:p w14:paraId="5EF568D5" w14:textId="3F536C68" w:rsidR="004E359C" w:rsidRDefault="00662835" w:rsidP="004E359C">
      <w:pPr>
        <w:pStyle w:val="Title"/>
        <w:jc w:val="center"/>
      </w:pPr>
      <w:r>
        <w:t xml:space="preserve">CRITERIA FOR THE ADMISSION OF STUDENTS </w:t>
      </w:r>
      <w:r w:rsidR="00745EF2">
        <w:t>TO MODULAR MASTER’S DEGREES (AND POSTGRADUATE CERTIFICATES AND POSTGRADUATE DIPLOMAS)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160"/>
        <w:gridCol w:w="4380"/>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00B77C0" w:rsidR="008C01F1" w:rsidRPr="00D9301C" w:rsidRDefault="00662835" w:rsidP="00745EF2">
            <w:pPr>
              <w:rPr>
                <w:rStyle w:val="SubtleEmphasis"/>
              </w:rPr>
            </w:pPr>
            <w:r>
              <w:rPr>
                <w:rStyle w:val="SubtleEmphasis"/>
              </w:rPr>
              <w:t xml:space="preserve">Criteria for the Admission of Students </w:t>
            </w:r>
            <w:r w:rsidR="00745EF2">
              <w:rPr>
                <w:rStyle w:val="SubtleEmphasis"/>
              </w:rPr>
              <w:t>to Modular Master’s Degrees (and Postgraduate Certificates and Postgraduate Diplomas)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6CFDEFFF" w:rsidR="008C01F1" w:rsidRPr="00D9301C" w:rsidRDefault="00745EF2" w:rsidP="00662835">
            <w:pPr>
              <w:rPr>
                <w:rStyle w:val="SubtleEmphasis"/>
              </w:rPr>
            </w:pPr>
            <w:r>
              <w:rPr>
                <w:rStyle w:val="SubtleEmphasis"/>
              </w:rPr>
              <w:t>07 Aug 2009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111E8B75" w:rsidR="008C01F1" w:rsidRPr="00D9301C" w:rsidRDefault="00745EF2"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0F8D43C8" w:rsidR="008C01F1" w:rsidRPr="00D9301C" w:rsidRDefault="008C01F1" w:rsidP="0041561E">
            <w:pPr>
              <w:rPr>
                <w:rStyle w:val="SubtleEmphasis"/>
              </w:rPr>
            </w:pP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EA78CF9"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723752CA" w:rsidR="008C01F1" w:rsidRPr="00D9301C" w:rsidRDefault="007F09B6" w:rsidP="0041561E">
            <w:pPr>
              <w:rPr>
                <w:rStyle w:val="SubtleEmphasis"/>
              </w:rPr>
            </w:pPr>
            <w:hyperlink r:id="rId11" w:history="1">
              <w:r w:rsidR="00662835" w:rsidRPr="00662835">
                <w:rPr>
                  <w:rStyle w:val="Hyperlink"/>
                  <w:rFonts w:ascii="Arial" w:hAnsi="Arial"/>
                  <w:i/>
                  <w:iCs/>
                  <w:sz w:val="24"/>
                </w:rPr>
                <w:t>Academic Handbook Ah1_02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2BFA0309" w:rsidR="008C01F1" w:rsidRPr="00D9301C" w:rsidRDefault="00745EF2" w:rsidP="0041561E">
            <w:pPr>
              <w:rPr>
                <w:rStyle w:val="SubtleEmphasis"/>
              </w:rPr>
            </w:pPr>
            <w:r>
              <w:rPr>
                <w:rStyle w:val="SubtleEmphasis"/>
              </w:rPr>
              <w:t>07 Aug 2009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F8A90F" w:rsidR="008C01F1" w:rsidRPr="00D9301C" w:rsidRDefault="00662835" w:rsidP="0041561E">
            <w:pPr>
              <w:rPr>
                <w:rStyle w:val="SubtleEmphasis"/>
              </w:rPr>
            </w:pPr>
            <w:r>
              <w:rPr>
                <w:rStyle w:val="SubtleEmphasis"/>
              </w:rPr>
              <w:t>Head of Admissions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44AE5604" w:rsidR="008C01F1" w:rsidRPr="00D9301C" w:rsidRDefault="00662835" w:rsidP="0041561E">
            <w:pPr>
              <w:rPr>
                <w:rStyle w:val="SubtleEmphasis"/>
              </w:rPr>
            </w:pPr>
            <w:r>
              <w:rPr>
                <w:rStyle w:val="SubtleEmphasis"/>
              </w:rPr>
              <w:t>Marketing and External Relations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74DAA677" w:rsidR="008C01F1" w:rsidRPr="00D9301C" w:rsidRDefault="00662835" w:rsidP="0041561E">
            <w:pPr>
              <w:rPr>
                <w:rStyle w:val="SubtleEmphasis"/>
              </w:rPr>
            </w:pPr>
            <w:r>
              <w:rPr>
                <w:rStyle w:val="SubtleEmphasis"/>
              </w:rPr>
              <w:t>askadmissions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9016" w:type="dxa"/>
        <w:tblLook w:val="04A0" w:firstRow="1" w:lastRow="0" w:firstColumn="1" w:lastColumn="0" w:noHBand="0" w:noVBand="1"/>
      </w:tblPr>
      <w:tblGrid>
        <w:gridCol w:w="1838"/>
        <w:gridCol w:w="2126"/>
        <w:gridCol w:w="5052"/>
      </w:tblGrid>
      <w:tr w:rsidR="008C01F1" w14:paraId="2AD10223" w14:textId="77777777" w:rsidTr="00493FF3">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493FF3">
        <w:tc>
          <w:tcPr>
            <w:tcW w:w="1838" w:type="dxa"/>
          </w:tcPr>
          <w:p w14:paraId="2F4BD481" w14:textId="01521116" w:rsidR="008C01F1" w:rsidRPr="00CD441C" w:rsidRDefault="007F09B6" w:rsidP="0041561E">
            <w:pPr>
              <w:rPr>
                <w:rStyle w:val="SubtleEmphasis"/>
              </w:rPr>
            </w:pPr>
            <w:r>
              <w:rPr>
                <w:rStyle w:val="SubtleEmphasis"/>
              </w:rPr>
              <w:t>1.1</w:t>
            </w:r>
          </w:p>
        </w:tc>
        <w:tc>
          <w:tcPr>
            <w:tcW w:w="2126" w:type="dxa"/>
          </w:tcPr>
          <w:p w14:paraId="0B241FE6" w14:textId="1207A314" w:rsidR="008C01F1" w:rsidRPr="00CD441C" w:rsidRDefault="007F09B6" w:rsidP="0041561E">
            <w:pPr>
              <w:rPr>
                <w:rStyle w:val="SubtleEmphasis"/>
              </w:rPr>
            </w:pPr>
            <w:r>
              <w:rPr>
                <w:rStyle w:val="SubtleEmphasis"/>
              </w:rPr>
              <w:t>Nov 2022</w:t>
            </w:r>
          </w:p>
        </w:tc>
        <w:tc>
          <w:tcPr>
            <w:tcW w:w="5052" w:type="dxa"/>
          </w:tcPr>
          <w:p w14:paraId="03E87587" w14:textId="0A9309E7" w:rsidR="008C01F1" w:rsidRPr="00CD441C" w:rsidRDefault="007F09B6" w:rsidP="0041561E">
            <w:pPr>
              <w:rPr>
                <w:rStyle w:val="SubtleEmphasis"/>
              </w:rPr>
            </w:pPr>
            <w:r>
              <w:rPr>
                <w:rStyle w:val="SubtleEmphasis"/>
              </w:rPr>
              <w:t>Updated English language requirements</w:t>
            </w:r>
          </w:p>
        </w:tc>
      </w:tr>
      <w:tr w:rsidR="008C01F1" w14:paraId="45B9D50E" w14:textId="77777777" w:rsidTr="00493FF3">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4C6C2A9" w14:textId="77777777" w:rsidR="00493FF3" w:rsidRDefault="00493FF3" w:rsidP="00493FF3">
      <w:pPr>
        <w:ind w:left="120" w:right="1276"/>
        <w:rPr>
          <w:b/>
          <w:sz w:val="24"/>
        </w:rPr>
      </w:pPr>
    </w:p>
    <w:p w14:paraId="08B28C0E" w14:textId="498D3681" w:rsidR="00493FF3" w:rsidRDefault="00493FF3" w:rsidP="00493FF3">
      <w:pPr>
        <w:pStyle w:val="Title"/>
      </w:pPr>
      <w:r>
        <w:lastRenderedPageBreak/>
        <w:t xml:space="preserve">Criteria for the Admission of Students </w:t>
      </w:r>
      <w:r w:rsidRPr="00493FF3">
        <w:rPr>
          <w:iCs/>
        </w:rPr>
        <w:t>to Modular Master’s Degrees</w:t>
      </w:r>
      <w:r>
        <w:t xml:space="preserve"> (and Postgraduate Certificate and Postgraduate Diplomas)</w:t>
      </w:r>
    </w:p>
    <w:p w14:paraId="44B3A989" w14:textId="77777777" w:rsidR="00493FF3" w:rsidRDefault="00493FF3" w:rsidP="00493FF3">
      <w:pPr>
        <w:pStyle w:val="BodyText"/>
        <w:spacing w:before="9"/>
        <w:rPr>
          <w:sz w:val="20"/>
        </w:rPr>
      </w:pPr>
    </w:p>
    <w:p w14:paraId="3B7BCC4E" w14:textId="77777777" w:rsidR="00493FF3" w:rsidRDefault="00493FF3" w:rsidP="00493FF3">
      <w:pPr>
        <w:pStyle w:val="Heading2"/>
        <w:widowControl w:val="0"/>
        <w:numPr>
          <w:ilvl w:val="0"/>
          <w:numId w:val="4"/>
        </w:numPr>
        <w:tabs>
          <w:tab w:val="left" w:pos="687"/>
          <w:tab w:val="left" w:pos="688"/>
        </w:tabs>
        <w:autoSpaceDE w:val="0"/>
        <w:autoSpaceDN w:val="0"/>
        <w:spacing w:before="1" w:after="0" w:line="240" w:lineRule="auto"/>
      </w:pPr>
      <w:r>
        <w:t>Introduction</w:t>
      </w:r>
    </w:p>
    <w:p w14:paraId="17599685" w14:textId="77777777" w:rsidR="00493FF3" w:rsidRDefault="00493FF3" w:rsidP="00493FF3">
      <w:pPr>
        <w:pStyle w:val="BodyText"/>
        <w:spacing w:before="10"/>
        <w:rPr>
          <w:b/>
          <w:sz w:val="20"/>
        </w:rPr>
      </w:pPr>
    </w:p>
    <w:p w14:paraId="62F0190C" w14:textId="2EAE2F23" w:rsidR="00493FF3" w:rsidRDefault="00493FF3" w:rsidP="007F09B6">
      <w:pPr>
        <w:pStyle w:val="ListParagraph"/>
        <w:numPr>
          <w:ilvl w:val="1"/>
          <w:numId w:val="4"/>
        </w:numPr>
        <w:tabs>
          <w:tab w:val="left" w:pos="1255"/>
        </w:tabs>
        <w:ind w:right="117" w:hanging="566"/>
        <w:rPr>
          <w:sz w:val="24"/>
        </w:rPr>
      </w:pPr>
      <w:r>
        <w:rPr>
          <w:sz w:val="24"/>
        </w:rPr>
        <w:t>The approach to entry onto Master</w:t>
      </w:r>
      <w:r w:rsidR="007F09B6">
        <w:rPr>
          <w:sz w:val="24"/>
        </w:rPr>
        <w:t>’</w:t>
      </w:r>
      <w:r>
        <w:rPr>
          <w:sz w:val="24"/>
        </w:rPr>
        <w:t>s programmes is aligned with that for first degree, HND and HNC programmes in that both normal minimum entry and exceptional routes are specified. However, for Modular Master’s programmes, two categories of exceptional entry are</w:t>
      </w:r>
      <w:r>
        <w:rPr>
          <w:spacing w:val="-5"/>
          <w:sz w:val="24"/>
        </w:rPr>
        <w:t xml:space="preserve"> </w:t>
      </w:r>
      <w:r>
        <w:rPr>
          <w:sz w:val="24"/>
        </w:rPr>
        <w:t>defined.</w:t>
      </w:r>
    </w:p>
    <w:p w14:paraId="2FFDCC0F" w14:textId="77777777" w:rsidR="00493FF3" w:rsidRDefault="00493FF3" w:rsidP="007F09B6">
      <w:pPr>
        <w:pStyle w:val="BodyText"/>
        <w:spacing w:before="9"/>
        <w:rPr>
          <w:sz w:val="20"/>
        </w:rPr>
      </w:pPr>
    </w:p>
    <w:p w14:paraId="368A281A" w14:textId="54A3D7D9" w:rsidR="00493FF3" w:rsidRDefault="00493FF3" w:rsidP="007F09B6">
      <w:pPr>
        <w:pStyle w:val="ListParagraph"/>
        <w:numPr>
          <w:ilvl w:val="1"/>
          <w:numId w:val="4"/>
        </w:numPr>
        <w:tabs>
          <w:tab w:val="left" w:pos="1261"/>
        </w:tabs>
        <w:spacing w:before="1"/>
        <w:ind w:left="1260" w:hanging="570"/>
        <w:rPr>
          <w:sz w:val="24"/>
        </w:rPr>
      </w:pPr>
      <w:r>
        <w:rPr>
          <w:sz w:val="24"/>
        </w:rPr>
        <w:t>In all cases of entry to Master</w:t>
      </w:r>
      <w:r w:rsidR="007F09B6">
        <w:rPr>
          <w:sz w:val="24"/>
        </w:rPr>
        <w:t>’</w:t>
      </w:r>
      <w:bookmarkStart w:id="3" w:name="_GoBack"/>
      <w:bookmarkEnd w:id="3"/>
      <w:r>
        <w:rPr>
          <w:sz w:val="24"/>
        </w:rPr>
        <w:t>s programmes, students are required to matriculate via satisfactory completion of the appropriate University</w:t>
      </w:r>
      <w:r>
        <w:rPr>
          <w:spacing w:val="-3"/>
          <w:sz w:val="24"/>
        </w:rPr>
        <w:t xml:space="preserve"> </w:t>
      </w:r>
      <w:r>
        <w:rPr>
          <w:sz w:val="24"/>
        </w:rPr>
        <w:t>form.</w:t>
      </w:r>
    </w:p>
    <w:p w14:paraId="6D314050" w14:textId="77777777" w:rsidR="00493FF3" w:rsidRDefault="00493FF3" w:rsidP="007F09B6">
      <w:pPr>
        <w:pStyle w:val="BodyText"/>
        <w:spacing w:before="10"/>
        <w:rPr>
          <w:sz w:val="20"/>
        </w:rPr>
      </w:pPr>
    </w:p>
    <w:p w14:paraId="157D3939" w14:textId="77777777" w:rsidR="00493FF3" w:rsidRDefault="00493FF3" w:rsidP="007F09B6">
      <w:pPr>
        <w:pStyle w:val="ListParagraph"/>
        <w:numPr>
          <w:ilvl w:val="1"/>
          <w:numId w:val="4"/>
        </w:numPr>
        <w:tabs>
          <w:tab w:val="left" w:pos="1261"/>
        </w:tabs>
        <w:ind w:left="1260" w:right="118" w:hanging="570"/>
        <w:rPr>
          <w:sz w:val="24"/>
        </w:rPr>
      </w:pPr>
      <w:r>
        <w:rPr>
          <w:sz w:val="24"/>
        </w:rPr>
        <w:t>In accepting candidates for postgraduate study, such acceptance shall be on the basis of Normal Minimum or Exceptional entry as given below and shall not be discriminatory in accordance and compliance with the University's Equal Opportunities Policy. Appropriate confidentiality shall be maintained throughout the applications and acceptance</w:t>
      </w:r>
      <w:r>
        <w:rPr>
          <w:spacing w:val="-3"/>
          <w:sz w:val="24"/>
        </w:rPr>
        <w:t xml:space="preserve"> </w:t>
      </w:r>
      <w:r>
        <w:rPr>
          <w:sz w:val="24"/>
        </w:rPr>
        <w:t>process.</w:t>
      </w:r>
    </w:p>
    <w:p w14:paraId="0008F270" w14:textId="77777777" w:rsidR="00493FF3" w:rsidRDefault="00493FF3" w:rsidP="007F09B6">
      <w:pPr>
        <w:pStyle w:val="BodyText"/>
        <w:spacing w:before="10"/>
        <w:rPr>
          <w:sz w:val="20"/>
        </w:rPr>
      </w:pPr>
    </w:p>
    <w:p w14:paraId="72496509" w14:textId="77777777" w:rsidR="00493FF3" w:rsidRDefault="00493FF3" w:rsidP="007F09B6">
      <w:pPr>
        <w:pStyle w:val="Heading2"/>
        <w:widowControl w:val="0"/>
        <w:numPr>
          <w:ilvl w:val="0"/>
          <w:numId w:val="4"/>
        </w:numPr>
        <w:tabs>
          <w:tab w:val="left" w:pos="687"/>
          <w:tab w:val="left" w:pos="688"/>
        </w:tabs>
        <w:autoSpaceDE w:val="0"/>
        <w:autoSpaceDN w:val="0"/>
        <w:spacing w:before="0" w:after="0" w:line="240" w:lineRule="auto"/>
      </w:pPr>
      <w:r>
        <w:t>Normal Minimum</w:t>
      </w:r>
      <w:r>
        <w:rPr>
          <w:spacing w:val="-2"/>
        </w:rPr>
        <w:t xml:space="preserve"> </w:t>
      </w:r>
      <w:r>
        <w:t>Entry</w:t>
      </w:r>
    </w:p>
    <w:p w14:paraId="04B60CE0" w14:textId="77777777" w:rsidR="00493FF3" w:rsidRDefault="00493FF3" w:rsidP="007F09B6">
      <w:pPr>
        <w:pStyle w:val="BodyText"/>
        <w:spacing w:before="9"/>
        <w:rPr>
          <w:b/>
          <w:sz w:val="20"/>
        </w:rPr>
      </w:pPr>
    </w:p>
    <w:p w14:paraId="57189F34" w14:textId="77777777" w:rsidR="00493FF3" w:rsidRDefault="00493FF3" w:rsidP="007F09B6">
      <w:pPr>
        <w:pStyle w:val="ListParagraph"/>
        <w:numPr>
          <w:ilvl w:val="1"/>
          <w:numId w:val="4"/>
        </w:numPr>
        <w:tabs>
          <w:tab w:val="left" w:pos="1255"/>
        </w:tabs>
        <w:ind w:right="116" w:hanging="566"/>
        <w:rPr>
          <w:sz w:val="24"/>
        </w:rPr>
      </w:pPr>
      <w:r>
        <w:rPr>
          <w:sz w:val="24"/>
        </w:rPr>
        <w:t>The normal minimum requirements for entry onto Modular Master’s Degrees</w:t>
      </w:r>
      <w:r>
        <w:rPr>
          <w:spacing w:val="-2"/>
          <w:sz w:val="24"/>
        </w:rPr>
        <w:t xml:space="preserve"> </w:t>
      </w:r>
      <w:r>
        <w:rPr>
          <w:sz w:val="24"/>
        </w:rPr>
        <w:t>are:</w:t>
      </w:r>
    </w:p>
    <w:p w14:paraId="66A05FB6" w14:textId="77777777" w:rsidR="00493FF3" w:rsidRDefault="00493FF3" w:rsidP="007F09B6">
      <w:pPr>
        <w:pStyle w:val="BodyText"/>
        <w:spacing w:before="9"/>
        <w:rPr>
          <w:sz w:val="20"/>
        </w:rPr>
      </w:pPr>
    </w:p>
    <w:p w14:paraId="3184B072" w14:textId="77777777" w:rsidR="00493FF3" w:rsidRDefault="00493FF3" w:rsidP="007F09B6">
      <w:pPr>
        <w:pStyle w:val="ListParagraph"/>
        <w:numPr>
          <w:ilvl w:val="2"/>
          <w:numId w:val="4"/>
        </w:numPr>
        <w:tabs>
          <w:tab w:val="left" w:pos="1821"/>
          <w:tab w:val="left" w:pos="1822"/>
        </w:tabs>
        <w:ind w:right="0" w:hanging="562"/>
        <w:rPr>
          <w:i/>
          <w:sz w:val="24"/>
        </w:rPr>
      </w:pPr>
      <w:r>
        <w:rPr>
          <w:sz w:val="24"/>
        </w:rPr>
        <w:t>an initial degree from Cardiff Metropolitan University;</w:t>
      </w:r>
      <w:r>
        <w:rPr>
          <w:spacing w:val="-5"/>
          <w:sz w:val="24"/>
        </w:rPr>
        <w:t xml:space="preserve"> </w:t>
      </w:r>
      <w:r>
        <w:rPr>
          <w:i/>
          <w:sz w:val="24"/>
        </w:rPr>
        <w:t>or</w:t>
      </w:r>
    </w:p>
    <w:p w14:paraId="4A71CB66" w14:textId="77777777" w:rsidR="00493FF3" w:rsidRDefault="00493FF3" w:rsidP="007F09B6">
      <w:pPr>
        <w:pStyle w:val="BodyText"/>
        <w:spacing w:before="9"/>
        <w:rPr>
          <w:i/>
          <w:sz w:val="20"/>
        </w:rPr>
      </w:pPr>
    </w:p>
    <w:p w14:paraId="0A94D48F" w14:textId="77777777" w:rsidR="00493FF3" w:rsidRDefault="00493FF3" w:rsidP="007F09B6">
      <w:pPr>
        <w:pStyle w:val="ListParagraph"/>
        <w:numPr>
          <w:ilvl w:val="2"/>
          <w:numId w:val="4"/>
        </w:numPr>
        <w:tabs>
          <w:tab w:val="left" w:pos="1816"/>
        </w:tabs>
        <w:ind w:hanging="562"/>
        <w:rPr>
          <w:i/>
          <w:sz w:val="24"/>
        </w:rPr>
      </w:pPr>
      <w:r>
        <w:rPr>
          <w:sz w:val="24"/>
        </w:rPr>
        <w:t>an initial degree awarded by another approved degree awarding body;</w:t>
      </w:r>
      <w:r>
        <w:rPr>
          <w:spacing w:val="-2"/>
          <w:sz w:val="24"/>
        </w:rPr>
        <w:t xml:space="preserve"> </w:t>
      </w:r>
      <w:r>
        <w:rPr>
          <w:i/>
          <w:sz w:val="24"/>
        </w:rPr>
        <w:t>or</w:t>
      </w:r>
    </w:p>
    <w:p w14:paraId="0AAB36E3" w14:textId="77777777" w:rsidR="00493FF3" w:rsidRDefault="00493FF3" w:rsidP="007F09B6">
      <w:pPr>
        <w:pStyle w:val="BodyText"/>
        <w:spacing w:before="8"/>
        <w:rPr>
          <w:i/>
          <w:sz w:val="20"/>
        </w:rPr>
      </w:pPr>
    </w:p>
    <w:p w14:paraId="65655A22" w14:textId="77777777" w:rsidR="00493FF3" w:rsidRDefault="00493FF3" w:rsidP="007F09B6">
      <w:pPr>
        <w:pStyle w:val="ListParagraph"/>
        <w:numPr>
          <w:ilvl w:val="2"/>
          <w:numId w:val="4"/>
        </w:numPr>
        <w:tabs>
          <w:tab w:val="left" w:pos="1822"/>
        </w:tabs>
        <w:ind w:left="1822" w:right="116"/>
        <w:rPr>
          <w:sz w:val="24"/>
        </w:rPr>
      </w:pPr>
      <w:r>
        <w:rPr>
          <w:sz w:val="24"/>
        </w:rPr>
        <w:t>a non-graduate qualification which is deemed to be of a satisfactory standard for the purpose of postgraduate admission.</w:t>
      </w:r>
    </w:p>
    <w:p w14:paraId="7C3FC8FA" w14:textId="77777777" w:rsidR="00493FF3" w:rsidRDefault="00493FF3" w:rsidP="007F09B6">
      <w:pPr>
        <w:pStyle w:val="BodyText"/>
        <w:spacing w:before="9"/>
        <w:rPr>
          <w:sz w:val="20"/>
        </w:rPr>
      </w:pPr>
    </w:p>
    <w:p w14:paraId="360E1DF9" w14:textId="77777777" w:rsidR="00493FF3" w:rsidRDefault="00493FF3" w:rsidP="007F09B6">
      <w:pPr>
        <w:pStyle w:val="Heading2"/>
        <w:widowControl w:val="0"/>
        <w:numPr>
          <w:ilvl w:val="0"/>
          <w:numId w:val="4"/>
        </w:numPr>
        <w:tabs>
          <w:tab w:val="left" w:pos="687"/>
          <w:tab w:val="left" w:pos="688"/>
        </w:tabs>
        <w:autoSpaceDE w:val="0"/>
        <w:autoSpaceDN w:val="0"/>
        <w:spacing w:before="1" w:after="0" w:line="240" w:lineRule="auto"/>
      </w:pPr>
      <w:r>
        <w:t>Exceptional Entry - Route</w:t>
      </w:r>
      <w:r>
        <w:rPr>
          <w:spacing w:val="-7"/>
        </w:rPr>
        <w:t xml:space="preserve"> </w:t>
      </w:r>
      <w:r>
        <w:t>1</w:t>
      </w:r>
    </w:p>
    <w:p w14:paraId="56A0BCBC" w14:textId="77777777" w:rsidR="00493FF3" w:rsidRDefault="00493FF3" w:rsidP="007F09B6">
      <w:pPr>
        <w:pStyle w:val="BodyText"/>
        <w:spacing w:before="10"/>
        <w:rPr>
          <w:b/>
          <w:sz w:val="20"/>
        </w:rPr>
      </w:pPr>
    </w:p>
    <w:p w14:paraId="6F756BFC" w14:textId="77777777" w:rsidR="00493FF3" w:rsidRDefault="00493FF3" w:rsidP="007F09B6">
      <w:pPr>
        <w:pStyle w:val="ListParagraph"/>
        <w:numPr>
          <w:ilvl w:val="1"/>
          <w:numId w:val="4"/>
        </w:numPr>
        <w:tabs>
          <w:tab w:val="left" w:pos="1255"/>
        </w:tabs>
        <w:ind w:right="117" w:hanging="566"/>
        <w:rPr>
          <w:sz w:val="24"/>
        </w:rPr>
      </w:pPr>
      <w:r>
        <w:rPr>
          <w:sz w:val="24"/>
        </w:rPr>
        <w:t>Candidates for consideration under Exceptional Entry - Route 1 are non-graduates whose relative lack of formal qualifications (i.e. formal qualifications which marginally fall short of the normal minimum entry requirements) is compensated for by his/her age and relevant work experience provided that such</w:t>
      </w:r>
      <w:r>
        <w:rPr>
          <w:spacing w:val="-10"/>
          <w:sz w:val="24"/>
        </w:rPr>
        <w:t xml:space="preserve"> </w:t>
      </w:r>
      <w:r>
        <w:rPr>
          <w:sz w:val="24"/>
        </w:rPr>
        <w:t>candidates:</w:t>
      </w:r>
    </w:p>
    <w:p w14:paraId="06BC8DC6" w14:textId="77777777" w:rsidR="00493FF3" w:rsidRDefault="00493FF3" w:rsidP="007F09B6">
      <w:pPr>
        <w:pStyle w:val="BodyText"/>
        <w:spacing w:before="9"/>
        <w:rPr>
          <w:sz w:val="20"/>
        </w:rPr>
      </w:pPr>
    </w:p>
    <w:p w14:paraId="0A9795B6" w14:textId="77777777" w:rsidR="00493FF3" w:rsidRDefault="00493FF3" w:rsidP="007F09B6">
      <w:pPr>
        <w:pStyle w:val="ListParagraph"/>
        <w:numPr>
          <w:ilvl w:val="0"/>
          <w:numId w:val="3"/>
        </w:numPr>
        <w:tabs>
          <w:tab w:val="left" w:pos="2240"/>
        </w:tabs>
        <w:ind w:right="118" w:hanging="360"/>
        <w:jc w:val="left"/>
        <w:rPr>
          <w:sz w:val="24"/>
        </w:rPr>
      </w:pPr>
      <w:r>
        <w:rPr>
          <w:sz w:val="24"/>
        </w:rPr>
        <w:t>Have held, for a minimum of two years, a responsible position which is relevant to the Master’s degree to be pursued.</w:t>
      </w:r>
    </w:p>
    <w:p w14:paraId="7457241B" w14:textId="77777777" w:rsidR="00493FF3" w:rsidRDefault="00493FF3" w:rsidP="007F09B6">
      <w:pPr>
        <w:rPr>
          <w:sz w:val="24"/>
        </w:rPr>
        <w:sectPr w:rsidR="00493FF3">
          <w:pgSz w:w="11910" w:h="16840"/>
          <w:pgMar w:top="1340" w:right="1680" w:bottom="1260" w:left="1680" w:header="0" w:footer="1078" w:gutter="0"/>
          <w:cols w:space="720"/>
        </w:sectPr>
      </w:pPr>
    </w:p>
    <w:p w14:paraId="4E111A77" w14:textId="0DB527EE" w:rsidR="00493FF3" w:rsidRDefault="00493FF3" w:rsidP="007F09B6">
      <w:pPr>
        <w:pStyle w:val="ListParagraph"/>
        <w:numPr>
          <w:ilvl w:val="1"/>
          <w:numId w:val="4"/>
        </w:numPr>
        <w:tabs>
          <w:tab w:val="left" w:pos="1255"/>
        </w:tabs>
        <w:spacing w:before="79"/>
        <w:ind w:right="116" w:hanging="566"/>
        <w:rPr>
          <w:sz w:val="24"/>
        </w:rPr>
      </w:pPr>
      <w:r>
        <w:rPr>
          <w:sz w:val="24"/>
        </w:rPr>
        <w:lastRenderedPageBreak/>
        <w:t xml:space="preserve">Procedures for assessing the suitability of Exceptional Entry-Route 1 candidates are the responsibility of Schools. In each case a pro- forma report must be lodged with the University’s Registry </w:t>
      </w:r>
      <w:r w:rsidR="007F09B6">
        <w:rPr>
          <w:sz w:val="24"/>
        </w:rPr>
        <w:t>Services.</w:t>
      </w:r>
    </w:p>
    <w:p w14:paraId="01312E69" w14:textId="77777777" w:rsidR="00493FF3" w:rsidRDefault="00493FF3" w:rsidP="007F09B6">
      <w:pPr>
        <w:pStyle w:val="BodyText"/>
        <w:spacing w:before="9"/>
        <w:rPr>
          <w:sz w:val="20"/>
        </w:rPr>
      </w:pPr>
    </w:p>
    <w:p w14:paraId="56CE2A31" w14:textId="77777777" w:rsidR="00493FF3" w:rsidRDefault="00493FF3" w:rsidP="007F09B6">
      <w:pPr>
        <w:pStyle w:val="Heading2"/>
        <w:widowControl w:val="0"/>
        <w:numPr>
          <w:ilvl w:val="0"/>
          <w:numId w:val="4"/>
        </w:numPr>
        <w:tabs>
          <w:tab w:val="left" w:pos="687"/>
          <w:tab w:val="left" w:pos="688"/>
        </w:tabs>
        <w:autoSpaceDE w:val="0"/>
        <w:autoSpaceDN w:val="0"/>
        <w:spacing w:before="0" w:after="0" w:line="240" w:lineRule="auto"/>
      </w:pPr>
      <w:r>
        <w:t>Exceptional Entry - Route</w:t>
      </w:r>
      <w:r>
        <w:rPr>
          <w:spacing w:val="-7"/>
        </w:rPr>
        <w:t xml:space="preserve"> </w:t>
      </w:r>
      <w:r>
        <w:t>2</w:t>
      </w:r>
    </w:p>
    <w:p w14:paraId="3E356E8C" w14:textId="77777777" w:rsidR="00493FF3" w:rsidRDefault="00493FF3" w:rsidP="007F09B6">
      <w:pPr>
        <w:pStyle w:val="BodyText"/>
        <w:spacing w:before="9"/>
        <w:rPr>
          <w:b/>
          <w:sz w:val="20"/>
        </w:rPr>
      </w:pPr>
    </w:p>
    <w:p w14:paraId="22DEC083" w14:textId="77777777" w:rsidR="00493FF3" w:rsidRDefault="00493FF3" w:rsidP="007F09B6">
      <w:pPr>
        <w:pStyle w:val="ListParagraph"/>
        <w:numPr>
          <w:ilvl w:val="1"/>
          <w:numId w:val="4"/>
        </w:numPr>
        <w:tabs>
          <w:tab w:val="left" w:pos="1255"/>
        </w:tabs>
        <w:ind w:hanging="566"/>
        <w:rPr>
          <w:sz w:val="24"/>
        </w:rPr>
      </w:pPr>
      <w:r>
        <w:rPr>
          <w:sz w:val="24"/>
        </w:rPr>
        <w:t>Any candidate for entry onto a Modular Master’s Degree who does not fulfill the requirements of either Normal Minimum Entry or Exceptional Entry - Route 1 must be considered via Exceptional Entry - Route</w:t>
      </w:r>
      <w:r>
        <w:rPr>
          <w:spacing w:val="-4"/>
          <w:sz w:val="24"/>
        </w:rPr>
        <w:t xml:space="preserve"> </w:t>
      </w:r>
      <w:r>
        <w:rPr>
          <w:sz w:val="24"/>
        </w:rPr>
        <w:t>2.</w:t>
      </w:r>
    </w:p>
    <w:p w14:paraId="568C1849" w14:textId="77777777" w:rsidR="00493FF3" w:rsidRDefault="00493FF3" w:rsidP="007F09B6">
      <w:pPr>
        <w:pStyle w:val="BodyText"/>
        <w:spacing w:before="9"/>
        <w:rPr>
          <w:sz w:val="20"/>
        </w:rPr>
      </w:pPr>
    </w:p>
    <w:p w14:paraId="578C9949" w14:textId="77777777" w:rsidR="00493FF3" w:rsidRDefault="00493FF3" w:rsidP="007F09B6">
      <w:pPr>
        <w:pStyle w:val="ListParagraph"/>
        <w:numPr>
          <w:ilvl w:val="1"/>
          <w:numId w:val="4"/>
        </w:numPr>
        <w:tabs>
          <w:tab w:val="left" w:pos="1255"/>
        </w:tabs>
        <w:ind w:right="116" w:hanging="566"/>
        <w:rPr>
          <w:sz w:val="24"/>
        </w:rPr>
      </w:pPr>
      <w:r>
        <w:rPr>
          <w:sz w:val="24"/>
        </w:rPr>
        <w:t>Exceptional Entry - Route 2 requires the relevant candidate details to be considered by the Special Cases Committee. Nominations in regard to such candidates must be processed via the Director of Registry Services and in sufficient time to be submitted to a convenient meeting of the Committee.</w:t>
      </w:r>
    </w:p>
    <w:p w14:paraId="47E16D85" w14:textId="77777777" w:rsidR="00493FF3" w:rsidRDefault="00493FF3" w:rsidP="007F09B6">
      <w:pPr>
        <w:pStyle w:val="BodyText"/>
        <w:spacing w:before="9"/>
        <w:rPr>
          <w:sz w:val="20"/>
        </w:rPr>
      </w:pPr>
    </w:p>
    <w:p w14:paraId="2E3365A7" w14:textId="023C372E" w:rsidR="00493FF3" w:rsidRDefault="00493FF3" w:rsidP="007F09B6">
      <w:pPr>
        <w:pStyle w:val="ListParagraph"/>
        <w:numPr>
          <w:ilvl w:val="1"/>
          <w:numId w:val="4"/>
        </w:numPr>
        <w:tabs>
          <w:tab w:val="left" w:pos="1261"/>
        </w:tabs>
        <w:ind w:left="1260" w:right="116" w:hanging="570"/>
        <w:rPr>
          <w:sz w:val="24"/>
        </w:rPr>
      </w:pPr>
      <w:r>
        <w:rPr>
          <w:sz w:val="24"/>
        </w:rPr>
        <w:t>Exceptional Entry - Route 2 candidates are those with a graduate or non-graduate qualification, which has not been recognized under normal minimum entry requirements or those candidates whose academic qualifications fall more than marginally short of the normal minimum entry</w:t>
      </w:r>
      <w:r>
        <w:rPr>
          <w:spacing w:val="-4"/>
          <w:sz w:val="24"/>
        </w:rPr>
        <w:t xml:space="preserve"> </w:t>
      </w:r>
      <w:r>
        <w:rPr>
          <w:sz w:val="24"/>
        </w:rPr>
        <w:t>requirements.</w:t>
      </w:r>
    </w:p>
    <w:p w14:paraId="04CF8573" w14:textId="77777777" w:rsidR="00493FF3" w:rsidRDefault="00493FF3" w:rsidP="007F09B6">
      <w:pPr>
        <w:pStyle w:val="BodyText"/>
        <w:spacing w:before="10"/>
        <w:rPr>
          <w:sz w:val="20"/>
        </w:rPr>
      </w:pPr>
    </w:p>
    <w:p w14:paraId="283F2EB9" w14:textId="77777777" w:rsidR="00493FF3" w:rsidRDefault="00493FF3" w:rsidP="007F09B6">
      <w:pPr>
        <w:pStyle w:val="Heading2"/>
        <w:widowControl w:val="0"/>
        <w:numPr>
          <w:ilvl w:val="0"/>
          <w:numId w:val="4"/>
        </w:numPr>
        <w:tabs>
          <w:tab w:val="left" w:pos="687"/>
          <w:tab w:val="left" w:pos="688"/>
        </w:tabs>
        <w:autoSpaceDE w:val="0"/>
        <w:autoSpaceDN w:val="0"/>
        <w:spacing w:before="0" w:after="0" w:line="240" w:lineRule="auto"/>
      </w:pPr>
      <w:r>
        <w:t>English Language</w:t>
      </w:r>
      <w:r>
        <w:rPr>
          <w:spacing w:val="-3"/>
        </w:rPr>
        <w:t xml:space="preserve"> </w:t>
      </w:r>
      <w:r>
        <w:t>Requirements</w:t>
      </w:r>
    </w:p>
    <w:p w14:paraId="1AF02D8D" w14:textId="77777777" w:rsidR="00493FF3" w:rsidRDefault="00493FF3" w:rsidP="007F09B6">
      <w:pPr>
        <w:pStyle w:val="BodyText"/>
        <w:spacing w:before="9"/>
        <w:rPr>
          <w:b/>
          <w:sz w:val="20"/>
        </w:rPr>
      </w:pPr>
    </w:p>
    <w:p w14:paraId="0B10327F" w14:textId="29F0B814" w:rsidR="00493FF3" w:rsidRDefault="00493FF3" w:rsidP="007F09B6">
      <w:pPr>
        <w:pStyle w:val="ListParagraph"/>
        <w:numPr>
          <w:ilvl w:val="1"/>
          <w:numId w:val="4"/>
        </w:numPr>
        <w:tabs>
          <w:tab w:val="left" w:pos="1255"/>
        </w:tabs>
        <w:spacing w:before="1"/>
        <w:ind w:hanging="566"/>
        <w:rPr>
          <w:sz w:val="24"/>
        </w:rPr>
      </w:pPr>
      <w:r>
        <w:rPr>
          <w:sz w:val="24"/>
        </w:rPr>
        <w:t>For candidates whose first language is not English, such candidates must normally be able to demonstrate on entry English Language proficiency at or equivalent to an IELTS score of at least 6.</w:t>
      </w:r>
      <w:r w:rsidR="007F09B6">
        <w:rPr>
          <w:sz w:val="24"/>
        </w:rPr>
        <w:t>5, with no less than 5.5 for any individual element.</w:t>
      </w:r>
    </w:p>
    <w:p w14:paraId="076DF56D" w14:textId="77777777" w:rsidR="00493FF3" w:rsidRDefault="00493FF3" w:rsidP="007F09B6">
      <w:pPr>
        <w:pStyle w:val="BodyText"/>
        <w:spacing w:before="10"/>
        <w:rPr>
          <w:sz w:val="20"/>
        </w:rPr>
      </w:pPr>
    </w:p>
    <w:p w14:paraId="206D0E6C" w14:textId="77777777" w:rsidR="00493FF3" w:rsidRDefault="00493FF3" w:rsidP="007F09B6">
      <w:pPr>
        <w:pStyle w:val="Heading2"/>
        <w:widowControl w:val="0"/>
        <w:numPr>
          <w:ilvl w:val="0"/>
          <w:numId w:val="4"/>
        </w:numPr>
        <w:tabs>
          <w:tab w:val="left" w:pos="687"/>
          <w:tab w:val="left" w:pos="688"/>
        </w:tabs>
        <w:autoSpaceDE w:val="0"/>
        <w:autoSpaceDN w:val="0"/>
        <w:spacing w:before="0" w:after="0" w:line="240" w:lineRule="auto"/>
      </w:pPr>
      <w:r>
        <w:t>Holders of Doctor of Philosophy</w:t>
      </w:r>
      <w:r>
        <w:rPr>
          <w:spacing w:val="-1"/>
        </w:rPr>
        <w:t xml:space="preserve"> </w:t>
      </w:r>
      <w:r>
        <w:t>Awards</w:t>
      </w:r>
    </w:p>
    <w:p w14:paraId="12CF0514" w14:textId="77777777" w:rsidR="00493FF3" w:rsidRDefault="00493FF3" w:rsidP="007F09B6">
      <w:pPr>
        <w:pStyle w:val="BodyText"/>
        <w:spacing w:before="8"/>
        <w:rPr>
          <w:b/>
          <w:sz w:val="20"/>
        </w:rPr>
      </w:pPr>
    </w:p>
    <w:p w14:paraId="2B027A74" w14:textId="77777777" w:rsidR="00493FF3" w:rsidRDefault="00493FF3" w:rsidP="007F09B6">
      <w:pPr>
        <w:pStyle w:val="ListParagraph"/>
        <w:numPr>
          <w:ilvl w:val="1"/>
          <w:numId w:val="4"/>
        </w:numPr>
        <w:tabs>
          <w:tab w:val="left" w:pos="1255"/>
        </w:tabs>
        <w:ind w:right="120" w:hanging="566"/>
        <w:rPr>
          <w:sz w:val="24"/>
        </w:rPr>
      </w:pPr>
      <w:r>
        <w:rPr>
          <w:sz w:val="24"/>
        </w:rPr>
        <w:t>A prospective candidate who already holds the degree of Doctor of Philosophy (or similar) shall show that the Master’s degree to be pursued is in a different field of study from that for which the doctorate was</w:t>
      </w:r>
      <w:r>
        <w:rPr>
          <w:spacing w:val="-2"/>
          <w:sz w:val="24"/>
        </w:rPr>
        <w:t xml:space="preserve"> </w:t>
      </w:r>
      <w:r>
        <w:rPr>
          <w:sz w:val="24"/>
        </w:rPr>
        <w:t>awarded.</w:t>
      </w:r>
    </w:p>
    <w:p w14:paraId="192071BC" w14:textId="77777777" w:rsidR="00493FF3" w:rsidRDefault="00493FF3" w:rsidP="007F09B6">
      <w:pPr>
        <w:pStyle w:val="BodyText"/>
        <w:spacing w:before="9"/>
        <w:rPr>
          <w:sz w:val="20"/>
        </w:rPr>
      </w:pPr>
    </w:p>
    <w:p w14:paraId="0CB7F89D" w14:textId="1DF4EBCC" w:rsidR="00493FF3" w:rsidRDefault="00493FF3" w:rsidP="007F09B6">
      <w:pPr>
        <w:pStyle w:val="Heading2"/>
        <w:widowControl w:val="0"/>
        <w:numPr>
          <w:ilvl w:val="0"/>
          <w:numId w:val="4"/>
        </w:numPr>
        <w:tabs>
          <w:tab w:val="left" w:pos="687"/>
          <w:tab w:val="left" w:pos="688"/>
        </w:tabs>
        <w:autoSpaceDE w:val="0"/>
        <w:autoSpaceDN w:val="0"/>
        <w:spacing w:before="0" w:after="0" w:line="240" w:lineRule="auto"/>
      </w:pPr>
      <w:r>
        <w:t xml:space="preserve">Postgraduate Certificates </w:t>
      </w:r>
      <w:r w:rsidR="007F09B6">
        <w:t xml:space="preserve">(PGC) </w:t>
      </w:r>
      <w:r>
        <w:t>and Postgraduate Diplomas</w:t>
      </w:r>
      <w:r>
        <w:rPr>
          <w:spacing w:val="-5"/>
        </w:rPr>
        <w:t xml:space="preserve"> </w:t>
      </w:r>
      <w:r w:rsidR="007F09B6">
        <w:t>(</w:t>
      </w:r>
      <w:r>
        <w:t>PGD)</w:t>
      </w:r>
    </w:p>
    <w:p w14:paraId="08C9652C" w14:textId="77777777" w:rsidR="00493FF3" w:rsidRDefault="00493FF3" w:rsidP="007F09B6">
      <w:pPr>
        <w:pStyle w:val="BodyText"/>
        <w:spacing w:before="9"/>
        <w:rPr>
          <w:b/>
          <w:sz w:val="20"/>
        </w:rPr>
      </w:pPr>
    </w:p>
    <w:p w14:paraId="313AFD10" w14:textId="77777777" w:rsidR="00493FF3" w:rsidRDefault="00493FF3" w:rsidP="007F09B6">
      <w:pPr>
        <w:pStyle w:val="ListParagraph"/>
        <w:numPr>
          <w:ilvl w:val="1"/>
          <w:numId w:val="4"/>
        </w:numPr>
        <w:tabs>
          <w:tab w:val="left" w:pos="1255"/>
        </w:tabs>
        <w:ind w:right="116" w:hanging="566"/>
        <w:rPr>
          <w:sz w:val="24"/>
        </w:rPr>
      </w:pPr>
      <w:r>
        <w:rPr>
          <w:sz w:val="24"/>
        </w:rPr>
        <w:t>In the case of candidature for either PGC and PGD stand-alone programmes or PGC and PGD awards, which are part of Master’s degrees, all of the above conditions</w:t>
      </w:r>
      <w:r>
        <w:rPr>
          <w:spacing w:val="-5"/>
          <w:sz w:val="24"/>
        </w:rPr>
        <w:t xml:space="preserve"> </w:t>
      </w:r>
      <w:r>
        <w:rPr>
          <w:sz w:val="24"/>
        </w:rPr>
        <w:t>apply.</w:t>
      </w:r>
    </w:p>
    <w:p w14:paraId="5D23E12B" w14:textId="77777777" w:rsidR="008C01F1" w:rsidRPr="008C01F1" w:rsidRDefault="008C01F1" w:rsidP="007F09B6">
      <w:pPr>
        <w:rPr>
          <w:rFonts w:ascii="Arial" w:hAnsi="Arial" w:cs="Arial"/>
          <w:sz w:val="48"/>
          <w:szCs w:val="48"/>
        </w:rPr>
      </w:pPr>
    </w:p>
    <w:p w14:paraId="1E25747D" w14:textId="531BB6E6" w:rsidR="002462C7" w:rsidRPr="002462C7" w:rsidRDefault="002462C7" w:rsidP="007F09B6">
      <w:pPr>
        <w:pStyle w:val="Heading1"/>
        <w:numPr>
          <w:ilvl w:val="0"/>
          <w:numId w:val="0"/>
        </w:numPr>
        <w:ind w:left="431"/>
      </w:pPr>
    </w:p>
    <w:p w14:paraId="4C2F412B" w14:textId="105998B0" w:rsidR="008C01F1" w:rsidRDefault="008C01F1" w:rsidP="007F09B6">
      <w:pPr>
        <w:pStyle w:val="BodyText"/>
        <w:spacing w:before="1"/>
        <w:ind w:left="688" w:right="119"/>
      </w:pPr>
    </w:p>
    <w:sectPr w:rsidR="008C01F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730ADD3F" w:rsidR="007D4A31" w:rsidRDefault="007D4A31">
        <w:pPr>
          <w:pStyle w:val="Footer"/>
          <w:jc w:val="center"/>
        </w:pPr>
        <w:r>
          <w:fldChar w:fldCharType="begin"/>
        </w:r>
        <w:r>
          <w:instrText xml:space="preserve"> PAGE   \* MERGEFORMAT </w:instrText>
        </w:r>
        <w:r>
          <w:fldChar w:fldCharType="separate"/>
        </w:r>
        <w:r w:rsidR="007F09B6">
          <w:rPr>
            <w:noProof/>
          </w:rPr>
          <w:t>3</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B01"/>
    <w:multiLevelType w:val="multilevel"/>
    <w:tmpl w:val="3AD0990E"/>
    <w:lvl w:ilvl="0">
      <w:start w:val="1"/>
      <w:numFmt w:val="decimal"/>
      <w:lvlText w:val="%1"/>
      <w:lvlJc w:val="left"/>
      <w:pPr>
        <w:ind w:left="688" w:hanging="568"/>
        <w:jc w:val="left"/>
      </w:pPr>
      <w:rPr>
        <w:rFonts w:ascii="Arial" w:eastAsia="Arial" w:hAnsi="Arial" w:cs="Arial" w:hint="default"/>
        <w:w w:val="99"/>
        <w:sz w:val="24"/>
        <w:szCs w:val="24"/>
      </w:rPr>
    </w:lvl>
    <w:lvl w:ilvl="1">
      <w:start w:val="1"/>
      <w:numFmt w:val="decimal"/>
      <w:lvlText w:val="%1.%2"/>
      <w:lvlJc w:val="left"/>
      <w:pPr>
        <w:ind w:left="1254" w:hanging="567"/>
        <w:jc w:val="left"/>
      </w:pPr>
      <w:rPr>
        <w:rFonts w:ascii="Arial" w:eastAsia="Arial" w:hAnsi="Arial" w:cs="Arial" w:hint="default"/>
        <w:w w:val="99"/>
        <w:sz w:val="24"/>
        <w:szCs w:val="24"/>
      </w:rPr>
    </w:lvl>
    <w:lvl w:ilvl="2">
      <w:start w:val="1"/>
      <w:numFmt w:val="lowerRoman"/>
      <w:lvlText w:val="(%3)"/>
      <w:lvlJc w:val="left"/>
      <w:pPr>
        <w:ind w:left="1816" w:hanging="568"/>
        <w:jc w:val="left"/>
      </w:pPr>
      <w:rPr>
        <w:rFonts w:ascii="Arial" w:eastAsia="Arial" w:hAnsi="Arial" w:cs="Arial" w:hint="default"/>
        <w:w w:val="99"/>
        <w:sz w:val="24"/>
        <w:szCs w:val="24"/>
      </w:rPr>
    </w:lvl>
    <w:lvl w:ilvl="3">
      <w:numFmt w:val="bullet"/>
      <w:lvlText w:val="•"/>
      <w:lvlJc w:val="left"/>
      <w:pPr>
        <w:ind w:left="2660" w:hanging="568"/>
      </w:pPr>
      <w:rPr>
        <w:rFonts w:hint="default"/>
      </w:rPr>
    </w:lvl>
    <w:lvl w:ilvl="4">
      <w:numFmt w:val="bullet"/>
      <w:lvlText w:val="•"/>
      <w:lvlJc w:val="left"/>
      <w:pPr>
        <w:ind w:left="3501" w:hanging="568"/>
      </w:pPr>
      <w:rPr>
        <w:rFonts w:hint="default"/>
      </w:rPr>
    </w:lvl>
    <w:lvl w:ilvl="5">
      <w:numFmt w:val="bullet"/>
      <w:lvlText w:val="•"/>
      <w:lvlJc w:val="left"/>
      <w:pPr>
        <w:ind w:left="4342" w:hanging="568"/>
      </w:pPr>
      <w:rPr>
        <w:rFonts w:hint="default"/>
      </w:rPr>
    </w:lvl>
    <w:lvl w:ilvl="6">
      <w:numFmt w:val="bullet"/>
      <w:lvlText w:val="•"/>
      <w:lvlJc w:val="left"/>
      <w:pPr>
        <w:ind w:left="5183" w:hanging="568"/>
      </w:pPr>
      <w:rPr>
        <w:rFonts w:hint="default"/>
      </w:rPr>
    </w:lvl>
    <w:lvl w:ilvl="7">
      <w:numFmt w:val="bullet"/>
      <w:lvlText w:val="•"/>
      <w:lvlJc w:val="left"/>
      <w:pPr>
        <w:ind w:left="6024" w:hanging="568"/>
      </w:pPr>
      <w:rPr>
        <w:rFonts w:hint="default"/>
      </w:rPr>
    </w:lvl>
    <w:lvl w:ilvl="8">
      <w:numFmt w:val="bullet"/>
      <w:lvlText w:val="•"/>
      <w:lvlJc w:val="left"/>
      <w:pPr>
        <w:ind w:left="6864" w:hanging="568"/>
      </w:pPr>
      <w:rPr>
        <w:rFonts w:hint="default"/>
      </w:rPr>
    </w:lvl>
  </w:abstractNum>
  <w:abstractNum w:abstractNumId="1" w15:restartNumberingAfterBreak="0">
    <w:nsid w:val="1C243BD1"/>
    <w:multiLevelType w:val="hybridMultilevel"/>
    <w:tmpl w:val="029C8754"/>
    <w:lvl w:ilvl="0" w:tplc="3960940C">
      <w:numFmt w:val="bullet"/>
      <w:lvlText w:val=""/>
      <w:lvlJc w:val="left"/>
      <w:pPr>
        <w:ind w:left="2266" w:hanging="334"/>
      </w:pPr>
      <w:rPr>
        <w:rFonts w:ascii="Symbol" w:eastAsia="Symbol" w:hAnsi="Symbol" w:cs="Symbol" w:hint="default"/>
        <w:w w:val="100"/>
        <w:sz w:val="24"/>
        <w:szCs w:val="24"/>
      </w:rPr>
    </w:lvl>
    <w:lvl w:ilvl="1" w:tplc="0F7E9F6E">
      <w:numFmt w:val="bullet"/>
      <w:lvlText w:val="•"/>
      <w:lvlJc w:val="left"/>
      <w:pPr>
        <w:ind w:left="2888" w:hanging="334"/>
      </w:pPr>
      <w:rPr>
        <w:rFonts w:hint="default"/>
      </w:rPr>
    </w:lvl>
    <w:lvl w:ilvl="2" w:tplc="BBBA7256">
      <w:numFmt w:val="bullet"/>
      <w:lvlText w:val="•"/>
      <w:lvlJc w:val="left"/>
      <w:pPr>
        <w:ind w:left="3517" w:hanging="334"/>
      </w:pPr>
      <w:rPr>
        <w:rFonts w:hint="default"/>
      </w:rPr>
    </w:lvl>
    <w:lvl w:ilvl="3" w:tplc="B4B0436C">
      <w:numFmt w:val="bullet"/>
      <w:lvlText w:val="•"/>
      <w:lvlJc w:val="left"/>
      <w:pPr>
        <w:ind w:left="4145" w:hanging="334"/>
      </w:pPr>
      <w:rPr>
        <w:rFonts w:hint="default"/>
      </w:rPr>
    </w:lvl>
    <w:lvl w:ilvl="4" w:tplc="DEE6CB6C">
      <w:numFmt w:val="bullet"/>
      <w:lvlText w:val="•"/>
      <w:lvlJc w:val="left"/>
      <w:pPr>
        <w:ind w:left="4774" w:hanging="334"/>
      </w:pPr>
      <w:rPr>
        <w:rFonts w:hint="default"/>
      </w:rPr>
    </w:lvl>
    <w:lvl w:ilvl="5" w:tplc="A9D83AE6">
      <w:numFmt w:val="bullet"/>
      <w:lvlText w:val="•"/>
      <w:lvlJc w:val="left"/>
      <w:pPr>
        <w:ind w:left="5403" w:hanging="334"/>
      </w:pPr>
      <w:rPr>
        <w:rFonts w:hint="default"/>
      </w:rPr>
    </w:lvl>
    <w:lvl w:ilvl="6" w:tplc="0194D2AA">
      <w:numFmt w:val="bullet"/>
      <w:lvlText w:val="•"/>
      <w:lvlJc w:val="left"/>
      <w:pPr>
        <w:ind w:left="6031" w:hanging="334"/>
      </w:pPr>
      <w:rPr>
        <w:rFonts w:hint="default"/>
      </w:rPr>
    </w:lvl>
    <w:lvl w:ilvl="7" w:tplc="5AD2BF76">
      <w:numFmt w:val="bullet"/>
      <w:lvlText w:val="•"/>
      <w:lvlJc w:val="left"/>
      <w:pPr>
        <w:ind w:left="6660" w:hanging="334"/>
      </w:pPr>
      <w:rPr>
        <w:rFonts w:hint="default"/>
      </w:rPr>
    </w:lvl>
    <w:lvl w:ilvl="8" w:tplc="902AFF84">
      <w:numFmt w:val="bullet"/>
      <w:lvlText w:val="•"/>
      <w:lvlJc w:val="left"/>
      <w:pPr>
        <w:ind w:left="7289" w:hanging="334"/>
      </w:pPr>
      <w:rPr>
        <w:rFonts w:hint="default"/>
      </w:rPr>
    </w:lvl>
  </w:abstractNum>
  <w:abstractNum w:abstractNumId="2" w15:restartNumberingAfterBreak="0">
    <w:nsid w:val="440940D9"/>
    <w:multiLevelType w:val="hybridMultilevel"/>
    <w:tmpl w:val="FD22941A"/>
    <w:lvl w:ilvl="0" w:tplc="293AFC48">
      <w:numFmt w:val="bullet"/>
      <w:lvlText w:val="•"/>
      <w:lvlJc w:val="left"/>
      <w:pPr>
        <w:ind w:left="838" w:hanging="150"/>
      </w:pPr>
      <w:rPr>
        <w:rFonts w:ascii="Arial" w:eastAsia="Arial" w:hAnsi="Arial" w:cs="Arial" w:hint="default"/>
        <w:w w:val="100"/>
        <w:sz w:val="24"/>
        <w:szCs w:val="24"/>
      </w:rPr>
    </w:lvl>
    <w:lvl w:ilvl="1" w:tplc="F91685D2">
      <w:numFmt w:val="bullet"/>
      <w:lvlText w:val="•"/>
      <w:lvlJc w:val="left"/>
      <w:pPr>
        <w:ind w:left="1610" w:hanging="150"/>
      </w:pPr>
      <w:rPr>
        <w:rFonts w:hint="default"/>
      </w:rPr>
    </w:lvl>
    <w:lvl w:ilvl="2" w:tplc="3BD020DE">
      <w:numFmt w:val="bullet"/>
      <w:lvlText w:val="•"/>
      <w:lvlJc w:val="left"/>
      <w:pPr>
        <w:ind w:left="2381" w:hanging="150"/>
      </w:pPr>
      <w:rPr>
        <w:rFonts w:hint="default"/>
      </w:rPr>
    </w:lvl>
    <w:lvl w:ilvl="3" w:tplc="3E1AE4A4">
      <w:numFmt w:val="bullet"/>
      <w:lvlText w:val="•"/>
      <w:lvlJc w:val="left"/>
      <w:pPr>
        <w:ind w:left="3151" w:hanging="150"/>
      </w:pPr>
      <w:rPr>
        <w:rFonts w:hint="default"/>
      </w:rPr>
    </w:lvl>
    <w:lvl w:ilvl="4" w:tplc="FBA0D458">
      <w:numFmt w:val="bullet"/>
      <w:lvlText w:val="•"/>
      <w:lvlJc w:val="left"/>
      <w:pPr>
        <w:ind w:left="3922" w:hanging="150"/>
      </w:pPr>
      <w:rPr>
        <w:rFonts w:hint="default"/>
      </w:rPr>
    </w:lvl>
    <w:lvl w:ilvl="5" w:tplc="ADF2AE56">
      <w:numFmt w:val="bullet"/>
      <w:lvlText w:val="•"/>
      <w:lvlJc w:val="left"/>
      <w:pPr>
        <w:ind w:left="4693" w:hanging="150"/>
      </w:pPr>
      <w:rPr>
        <w:rFonts w:hint="default"/>
      </w:rPr>
    </w:lvl>
    <w:lvl w:ilvl="6" w:tplc="A4969DA8">
      <w:numFmt w:val="bullet"/>
      <w:lvlText w:val="•"/>
      <w:lvlJc w:val="left"/>
      <w:pPr>
        <w:ind w:left="5463" w:hanging="150"/>
      </w:pPr>
      <w:rPr>
        <w:rFonts w:hint="default"/>
      </w:rPr>
    </w:lvl>
    <w:lvl w:ilvl="7" w:tplc="BAB89DF2">
      <w:numFmt w:val="bullet"/>
      <w:lvlText w:val="•"/>
      <w:lvlJc w:val="left"/>
      <w:pPr>
        <w:ind w:left="6234" w:hanging="150"/>
      </w:pPr>
      <w:rPr>
        <w:rFonts w:hint="default"/>
      </w:rPr>
    </w:lvl>
    <w:lvl w:ilvl="8" w:tplc="C1D2269E">
      <w:numFmt w:val="bullet"/>
      <w:lvlText w:val="•"/>
      <w:lvlJc w:val="left"/>
      <w:pPr>
        <w:ind w:left="7005" w:hanging="150"/>
      </w:pPr>
      <w:rPr>
        <w:rFonts w:hint="default"/>
      </w:rPr>
    </w:lvl>
  </w:abstractNum>
  <w:abstractNum w:abstractNumId="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2462C7"/>
    <w:rsid w:val="00493FF3"/>
    <w:rsid w:val="004E359C"/>
    <w:rsid w:val="005A4EFE"/>
    <w:rsid w:val="00662835"/>
    <w:rsid w:val="006E5DBF"/>
    <w:rsid w:val="007022D6"/>
    <w:rsid w:val="00744300"/>
    <w:rsid w:val="00745EF2"/>
    <w:rsid w:val="007D4A31"/>
    <w:rsid w:val="007F09B6"/>
    <w:rsid w:val="008322A8"/>
    <w:rsid w:val="008C01F1"/>
    <w:rsid w:val="00BA387B"/>
    <w:rsid w:val="00BC0D94"/>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662835"/>
    <w:rPr>
      <w:color w:val="0563C1" w:themeColor="hyperlink"/>
      <w:u w:val="single"/>
    </w:rPr>
  </w:style>
  <w:style w:type="paragraph" w:styleId="BodyText">
    <w:name w:val="Body Text"/>
    <w:basedOn w:val="Normal"/>
    <w:link w:val="BodyTextChar"/>
    <w:uiPriority w:val="1"/>
    <w:qFormat/>
    <w:rsid w:val="002462C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462C7"/>
    <w:rPr>
      <w:rFonts w:ascii="Arial" w:eastAsia="Arial" w:hAnsi="Arial" w:cs="Arial"/>
      <w:sz w:val="24"/>
      <w:szCs w:val="24"/>
      <w:lang w:val="en-US"/>
    </w:rPr>
  </w:style>
  <w:style w:type="paragraph" w:styleId="ListParagraph">
    <w:name w:val="List Paragraph"/>
    <w:basedOn w:val="Normal"/>
    <w:uiPriority w:val="1"/>
    <w:qFormat/>
    <w:rsid w:val="002462C7"/>
    <w:pPr>
      <w:widowControl w:val="0"/>
      <w:autoSpaceDE w:val="0"/>
      <w:autoSpaceDN w:val="0"/>
      <w:spacing w:after="0" w:line="240" w:lineRule="auto"/>
      <w:ind w:left="688" w:right="119" w:hanging="152"/>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29DDEA-37A7-4E25-87D8-4756B4E58388}"/>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schemas.openxmlformats.org/package/2006/metadata/core-properties"/>
    <ds:schemaRef ds:uri="http://schemas.microsoft.com/office/infopath/2007/PartnerControls"/>
    <ds:schemaRef ds:uri="http://schemas.microsoft.com/office/2006/metadata/properties"/>
    <ds:schemaRef ds:uri="655c9394-2770-4d42-b33a-97094cd46204"/>
    <ds:schemaRef ds:uri="http://purl.org/dc/dcmitype/"/>
    <ds:schemaRef ds:uri="http://www.w3.org/XML/1998/namespace"/>
    <ds:schemaRef ds:uri="http://schemas.microsoft.com/office/2006/documentManagement/types"/>
    <ds:schemaRef ds:uri="286e2e22-220c-4086-bbb8-16929b336d9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2</cp:revision>
  <dcterms:created xsi:type="dcterms:W3CDTF">2022-11-30T14:20:00Z</dcterms:created>
  <dcterms:modified xsi:type="dcterms:W3CDTF">2022-11-30T14:20:00Z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