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4C227545" w14:textId="39A1C2F5" w:rsidR="0009267B" w:rsidRPr="00F96898" w:rsidRDefault="0009267B" w:rsidP="0009597B">
      <w:pPr>
        <w:pStyle w:val="Title"/>
        <w:jc w:val="center"/>
        <w:rPr>
          <w:color w:val="auto"/>
        </w:rPr>
      </w:pPr>
      <w:r w:rsidRPr="00F96898">
        <w:rPr>
          <w:color w:val="auto"/>
        </w:rPr>
        <w:t>9.4E</w:t>
      </w:r>
    </w:p>
    <w:p w14:paraId="17369CF2" w14:textId="4D1680E2" w:rsidR="00B75892" w:rsidRPr="00F96898" w:rsidRDefault="00F96898" w:rsidP="0009597B">
      <w:pPr>
        <w:pStyle w:val="Title"/>
        <w:jc w:val="center"/>
        <w:rPr>
          <w:color w:val="auto"/>
        </w:rPr>
      </w:pPr>
      <w:r w:rsidRPr="00F96898">
        <w:rPr>
          <w:color w:val="auto"/>
        </w:rPr>
        <w:t>SUPPORT TO STUDY POLICY</w:t>
      </w:r>
      <w:r w:rsidR="00F5243C">
        <w:rPr>
          <w:color w:val="auto"/>
        </w:rPr>
        <w:t xml:space="preserve"> </w:t>
      </w:r>
      <w:r w:rsidR="00F5243C" w:rsidRPr="00420C80">
        <w:rPr>
          <w:color w:val="auto"/>
        </w:rPr>
        <w:t>AND PROCEDURE</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00765264">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81F59C3" w:rsidR="005D0B18" w:rsidRPr="00D9301C" w:rsidRDefault="00A13D1B" w:rsidP="00E62C64">
            <w:pPr>
              <w:rPr>
                <w:rStyle w:val="SubtleEmphasis"/>
              </w:rPr>
            </w:pPr>
            <w:r>
              <w:rPr>
                <w:rStyle w:val="SubtleEmphasis"/>
              </w:rPr>
              <w:t xml:space="preserve">Support </w:t>
            </w:r>
            <w:r w:rsidR="00FD4AE4">
              <w:rPr>
                <w:rStyle w:val="SubtleEmphasis"/>
              </w:rPr>
              <w:t>t</w:t>
            </w:r>
            <w:r>
              <w:rPr>
                <w:rStyle w:val="SubtleEmphasis"/>
              </w:rPr>
              <w:t>o Study</w:t>
            </w:r>
            <w:r w:rsidR="00FD4AE4">
              <w:rPr>
                <w:rStyle w:val="SubtleEmphasis"/>
              </w:rPr>
              <w:t xml:space="preserve"> Policy and Procedure</w:t>
            </w:r>
          </w:p>
        </w:tc>
      </w:tr>
      <w:tr w:rsidR="00424E11" w:rsidRPr="00424E11" w14:paraId="0311DF9D" w14:textId="77777777" w:rsidTr="00765264">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2CE3DF5" w:rsidR="00424E11" w:rsidRPr="00D9301C" w:rsidRDefault="00D80057" w:rsidP="00E62C64">
            <w:pPr>
              <w:rPr>
                <w:rStyle w:val="SubtleEmphasis"/>
              </w:rPr>
            </w:pPr>
            <w:r>
              <w:rPr>
                <w:rStyle w:val="SubtleEmphasis"/>
              </w:rPr>
              <w:t>8 Oct 2025</w:t>
            </w:r>
          </w:p>
        </w:tc>
      </w:tr>
      <w:tr w:rsidR="00424E11" w:rsidRPr="00424E11" w14:paraId="4A73979F" w14:textId="77777777" w:rsidTr="00765264">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4936059" w:rsidR="00424E11" w:rsidRPr="00D9301C" w:rsidRDefault="009A3197" w:rsidP="00E62C64">
            <w:pPr>
              <w:rPr>
                <w:rStyle w:val="SubtleEmphasis"/>
              </w:rPr>
            </w:pPr>
            <w:r>
              <w:rPr>
                <w:rStyle w:val="SubtleEmphasis"/>
              </w:rPr>
              <w:t>Academic Board</w:t>
            </w:r>
          </w:p>
        </w:tc>
      </w:tr>
      <w:tr w:rsidR="00424E11" w:rsidRPr="00424E11" w14:paraId="7130D26C" w14:textId="77777777" w:rsidTr="00765264">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4884C08" w14:textId="77777777" w:rsidR="00F04571" w:rsidRDefault="00A13D1B" w:rsidP="00F04571">
            <w:pPr>
              <w:rPr>
                <w:rStyle w:val="SubtleEmphasis"/>
              </w:rPr>
            </w:pPr>
            <w:r>
              <w:rPr>
                <w:rStyle w:val="SubtleEmphasis"/>
              </w:rPr>
              <w:t>1</w:t>
            </w:r>
          </w:p>
          <w:p w14:paraId="5C7E37D5" w14:textId="55EEC96F" w:rsidR="00424E11" w:rsidRPr="00D9301C" w:rsidRDefault="00424E11" w:rsidP="00E62C64">
            <w:pPr>
              <w:rPr>
                <w:rStyle w:val="SubtleEmphasis"/>
              </w:rPr>
            </w:pPr>
          </w:p>
        </w:tc>
      </w:tr>
      <w:tr w:rsidR="00424E11" w:rsidRPr="00424E11" w14:paraId="51E7BDE9" w14:textId="77777777" w:rsidTr="00765264">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ED87C85" w:rsidR="00424E11" w:rsidRPr="00D9301C" w:rsidRDefault="007A3F34" w:rsidP="00E62C64">
            <w:pPr>
              <w:rPr>
                <w:rStyle w:val="SubtleEmphasis"/>
              </w:rPr>
            </w:pPr>
            <w:r>
              <w:rPr>
                <w:rStyle w:val="SubtleEmphasis"/>
              </w:rPr>
              <w:t>This supersedes the Fitness to Study Policy</w:t>
            </w:r>
          </w:p>
        </w:tc>
      </w:tr>
      <w:tr w:rsidR="00424E11" w:rsidRPr="00424E11" w14:paraId="317ADAD2" w14:textId="77777777" w:rsidTr="00765264">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9B16777" w:rsidR="00424E11" w:rsidRPr="00D9301C" w:rsidRDefault="00941915" w:rsidP="00E62C64">
            <w:pPr>
              <w:rPr>
                <w:rStyle w:val="SubtleEmphasis"/>
              </w:rPr>
            </w:pPr>
            <w:r>
              <w:rPr>
                <w:rStyle w:val="SubtleEmphasis"/>
              </w:rPr>
              <w:t>202</w:t>
            </w:r>
            <w:r w:rsidR="005549F8">
              <w:rPr>
                <w:rStyle w:val="SubtleEmphasis"/>
              </w:rPr>
              <w:t>7</w:t>
            </w:r>
          </w:p>
        </w:tc>
      </w:tr>
      <w:tr w:rsidR="00424E11" w:rsidRPr="00424E11" w14:paraId="75C9C866" w14:textId="77777777" w:rsidTr="00765264">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0A3C723C" w:rsidR="00424E11" w:rsidRPr="00D9301C" w:rsidRDefault="00424E11" w:rsidP="00941915">
            <w:pPr>
              <w:pStyle w:val="CommentText"/>
              <w:rPr>
                <w:rStyle w:val="SubtleEmphasis"/>
              </w:rPr>
            </w:pPr>
          </w:p>
        </w:tc>
      </w:tr>
      <w:tr w:rsidR="00424E11" w:rsidRPr="00424E11" w14:paraId="3089C9C7" w14:textId="77777777" w:rsidTr="00765264">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4BF29C86" w14:textId="321E9704" w:rsidR="005B2CB4" w:rsidRDefault="005B2CB4" w:rsidP="00E62C64">
            <w:pPr>
              <w:rPr>
                <w:rStyle w:val="SubtleEmphasis"/>
              </w:rPr>
            </w:pPr>
            <w:r>
              <w:rPr>
                <w:rStyle w:val="SubtleEmphasis"/>
              </w:rPr>
              <w:t>Student Charter</w:t>
            </w:r>
          </w:p>
          <w:p w14:paraId="3C3D9F3A" w14:textId="496BE9BC" w:rsidR="00424E11" w:rsidRDefault="00CD5FF3" w:rsidP="00E62C64">
            <w:pPr>
              <w:rPr>
                <w:rStyle w:val="SubtleEmphasis"/>
              </w:rPr>
            </w:pPr>
            <w:r>
              <w:rPr>
                <w:rStyle w:val="SubtleEmphasis"/>
              </w:rPr>
              <w:t xml:space="preserve">Student Disciplinary </w:t>
            </w:r>
            <w:r w:rsidR="005B2CB4">
              <w:rPr>
                <w:rStyle w:val="SubtleEmphasis"/>
              </w:rPr>
              <w:t>Procedure</w:t>
            </w:r>
          </w:p>
          <w:p w14:paraId="2155213D" w14:textId="0A545827" w:rsidR="00CD5FF3" w:rsidRDefault="0093788B" w:rsidP="00E62C64">
            <w:pPr>
              <w:rPr>
                <w:rStyle w:val="SubtleEmphasis"/>
              </w:rPr>
            </w:pPr>
            <w:r>
              <w:rPr>
                <w:rStyle w:val="SubtleEmphasis"/>
              </w:rPr>
              <w:t xml:space="preserve">Student </w:t>
            </w:r>
            <w:r w:rsidR="00CD5FF3">
              <w:rPr>
                <w:rStyle w:val="SubtleEmphasis"/>
              </w:rPr>
              <w:t>Fitness to Practise</w:t>
            </w:r>
            <w:r w:rsidR="005B2CB4">
              <w:rPr>
                <w:rStyle w:val="SubtleEmphasis"/>
              </w:rPr>
              <w:t xml:space="preserve"> Procedure</w:t>
            </w:r>
          </w:p>
          <w:p w14:paraId="5482948D" w14:textId="44F054D8" w:rsidR="00273EB6" w:rsidRPr="00D9301C" w:rsidRDefault="5A4A1323" w:rsidP="00E62C64">
            <w:pPr>
              <w:rPr>
                <w:rStyle w:val="SubtleEmphasis"/>
              </w:rPr>
            </w:pPr>
            <w:r w:rsidRPr="17392358">
              <w:rPr>
                <w:rStyle w:val="SubtleEmphasis"/>
              </w:rPr>
              <w:t>Mitigating Circumstance</w:t>
            </w:r>
            <w:r w:rsidR="752ECB2C" w:rsidRPr="17392358">
              <w:rPr>
                <w:rStyle w:val="SubtleEmphasis"/>
              </w:rPr>
              <w:t>s Policy</w:t>
            </w:r>
          </w:p>
        </w:tc>
      </w:tr>
      <w:tr w:rsidR="00424E11" w:rsidRPr="00424E11" w14:paraId="7A2B0B2D" w14:textId="77777777" w:rsidTr="00765264">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58392EA" w:rsidR="00424E11" w:rsidRPr="00D9301C" w:rsidRDefault="00273EB6" w:rsidP="00E62C64">
            <w:pPr>
              <w:rPr>
                <w:rStyle w:val="SubtleEmphasis"/>
              </w:rPr>
            </w:pPr>
            <w:r>
              <w:rPr>
                <w:rStyle w:val="SubtleEmphasis"/>
              </w:rPr>
              <w:t>Sep</w:t>
            </w:r>
            <w:r w:rsidR="0013304E" w:rsidRPr="00D9301C">
              <w:rPr>
                <w:rStyle w:val="SubtleEmphasis"/>
              </w:rPr>
              <w:t xml:space="preserve"> </w:t>
            </w:r>
            <w:r>
              <w:rPr>
                <w:rStyle w:val="SubtleEmphasis"/>
              </w:rPr>
              <w:t>2025</w:t>
            </w:r>
          </w:p>
        </w:tc>
      </w:tr>
      <w:tr w:rsidR="00424E11" w:rsidRPr="00424E11" w14:paraId="31B148B0" w14:textId="77777777" w:rsidTr="00765264">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37252004" w:rsidR="00424E11" w:rsidRPr="00D9301C" w:rsidRDefault="00626A0E" w:rsidP="00E62C64">
            <w:pPr>
              <w:rPr>
                <w:rStyle w:val="SubtleEmphasis"/>
              </w:rPr>
            </w:pPr>
            <w:r>
              <w:rPr>
                <w:rStyle w:val="SubtleEmphasis"/>
              </w:rPr>
              <w:t>Chief Student Officer</w:t>
            </w:r>
          </w:p>
        </w:tc>
      </w:tr>
      <w:tr w:rsidR="00424E11" w:rsidRPr="00424E11" w14:paraId="1A728E75" w14:textId="77777777" w:rsidTr="00765264">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9C88DBE" w:rsidR="00424E11" w:rsidRPr="00D9301C" w:rsidRDefault="004E224D" w:rsidP="00E62C64">
            <w:pPr>
              <w:rPr>
                <w:rStyle w:val="SubtleEmphasis"/>
              </w:rPr>
            </w:pPr>
            <w:r>
              <w:rPr>
                <w:rStyle w:val="SubtleEmphasis"/>
              </w:rPr>
              <w:t>Student Services</w:t>
            </w:r>
          </w:p>
        </w:tc>
      </w:tr>
      <w:tr w:rsidR="00424E11" w:rsidRPr="00424E11" w14:paraId="5EC8AF95" w14:textId="77777777" w:rsidTr="00765264">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EFDA239" w:rsidR="00424E11" w:rsidRPr="00D9301C" w:rsidRDefault="00EF139C" w:rsidP="00E62C64">
            <w:pPr>
              <w:rPr>
                <w:rStyle w:val="SubtleEmphasis"/>
              </w:rPr>
            </w:pPr>
            <w:hyperlink r:id="rId9" w:history="1">
              <w:r w:rsidRPr="00A95158">
                <w:rPr>
                  <w:rStyle w:val="Hyperlink"/>
                </w:rPr>
                <w:t>regulations@cardiffmet.ac.uk</w:t>
              </w:r>
            </w:hyperlink>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62255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622559">
        <w:tc>
          <w:tcPr>
            <w:tcW w:w="3005" w:type="dxa"/>
          </w:tcPr>
          <w:p w14:paraId="0B1347D0" w14:textId="5E918EBE" w:rsidR="00376449" w:rsidRPr="00CD441C" w:rsidRDefault="00CD441C" w:rsidP="00376449">
            <w:pPr>
              <w:rPr>
                <w:rStyle w:val="SubtleEmphasis"/>
              </w:rPr>
            </w:pPr>
            <w:r>
              <w:rPr>
                <w:rStyle w:val="SubtleEmphasis"/>
              </w:rPr>
              <w:t>1</w:t>
            </w:r>
          </w:p>
        </w:tc>
        <w:tc>
          <w:tcPr>
            <w:tcW w:w="3005" w:type="dxa"/>
          </w:tcPr>
          <w:p w14:paraId="7DB69C66" w14:textId="126EB471" w:rsidR="00376449" w:rsidRPr="00CD441C" w:rsidRDefault="00B55504" w:rsidP="00376449">
            <w:pPr>
              <w:rPr>
                <w:rStyle w:val="SubtleEmphasis"/>
              </w:rPr>
            </w:pPr>
            <w:r>
              <w:rPr>
                <w:rStyle w:val="SubtleEmphasis"/>
              </w:rPr>
              <w:t>Sep 2025</w:t>
            </w:r>
          </w:p>
        </w:tc>
        <w:tc>
          <w:tcPr>
            <w:tcW w:w="3006" w:type="dxa"/>
          </w:tcPr>
          <w:p w14:paraId="619AEAD7" w14:textId="3F780C2A" w:rsidR="00376449" w:rsidRPr="00CD441C" w:rsidRDefault="00CD441C" w:rsidP="00376449">
            <w:pPr>
              <w:rPr>
                <w:rStyle w:val="SubtleEmphasis"/>
              </w:rPr>
            </w:pPr>
            <w:r>
              <w:rPr>
                <w:rStyle w:val="SubtleEmphasis"/>
              </w:rPr>
              <w:t>First version</w:t>
            </w:r>
          </w:p>
        </w:tc>
      </w:tr>
      <w:bookmarkEnd w:id="3"/>
      <w:bookmarkEnd w:id="4"/>
      <w:bookmarkEnd w:id="5"/>
    </w:tbl>
    <w:p w14:paraId="246752F0" w14:textId="59C90208" w:rsidR="00F000D3" w:rsidRDefault="00F000D3" w:rsidP="0093788B">
      <w:pPr>
        <w:pStyle w:val="TOC1"/>
        <w:tabs>
          <w:tab w:val="right" w:leader="dot" w:pos="9016"/>
        </w:tabs>
      </w:pPr>
    </w:p>
    <w:p w14:paraId="0F5FDF8D" w14:textId="77777777" w:rsidR="00F000D3" w:rsidRDefault="00F000D3" w:rsidP="00FE3B62">
      <w:pPr>
        <w:pStyle w:val="Title"/>
      </w:pPr>
      <w:r>
        <w:br w:type="page"/>
      </w:r>
    </w:p>
    <w:p w14:paraId="0E2EBE42" w14:textId="234C38F8" w:rsidR="00FE3B62" w:rsidRDefault="00FE3B62" w:rsidP="00FE3B62">
      <w:pPr>
        <w:pStyle w:val="Title"/>
      </w:pPr>
      <w:bookmarkStart w:id="6" w:name="_Toc77936658"/>
      <w:r>
        <w:lastRenderedPageBreak/>
        <w:t>Support to Study Policy</w:t>
      </w:r>
      <w:r w:rsidR="00691004">
        <w:t xml:space="preserve"> and Procedure</w:t>
      </w:r>
    </w:p>
    <w:p w14:paraId="486840A3" w14:textId="7198CE49" w:rsidR="009359B4" w:rsidRDefault="00EA69F4" w:rsidP="00AD6592">
      <w:pPr>
        <w:pStyle w:val="Heading1"/>
      </w:pPr>
      <w:r w:rsidRPr="59C452B5">
        <w:t>Introduction</w:t>
      </w:r>
      <w:bookmarkEnd w:id="6"/>
    </w:p>
    <w:p w14:paraId="0250B8AF" w14:textId="4F0133BF" w:rsidR="00ED5B05" w:rsidRPr="009E4373" w:rsidRDefault="00FC234A" w:rsidP="00F000D3">
      <w:pPr>
        <w:pStyle w:val="Heading2"/>
        <w:rPr>
          <w:color w:val="auto"/>
        </w:rPr>
      </w:pPr>
      <w:r w:rsidRPr="009E4373">
        <w:rPr>
          <w:color w:val="auto"/>
        </w:rPr>
        <w:t>The Support to Study Policy and Procedure (</w:t>
      </w:r>
      <w:proofErr w:type="spellStart"/>
      <w:r w:rsidRPr="009E4373">
        <w:rPr>
          <w:color w:val="auto"/>
        </w:rPr>
        <w:t>StS</w:t>
      </w:r>
      <w:proofErr w:type="spellEnd"/>
      <w:r w:rsidRPr="009E4373">
        <w:rPr>
          <w:color w:val="auto"/>
        </w:rPr>
        <w:t xml:space="preserve">) is </w:t>
      </w:r>
      <w:r w:rsidR="00ED5B05" w:rsidRPr="009E4373">
        <w:rPr>
          <w:rFonts w:eastAsiaTheme="minorEastAsia"/>
          <w:color w:val="auto"/>
        </w:rPr>
        <w:t>designed to provide a compassionate and proactive framework for supporting students who may be experiencing difficulties that impact their ability to engage or progress with their studies.</w:t>
      </w:r>
    </w:p>
    <w:p w14:paraId="326B21A6" w14:textId="4E00A3AF" w:rsidR="00C3235F" w:rsidRPr="00F000D3" w:rsidRDefault="005B2CB4" w:rsidP="00F000D3">
      <w:pPr>
        <w:pStyle w:val="Heading2"/>
        <w:rPr>
          <w:color w:val="auto"/>
        </w:rPr>
      </w:pPr>
      <w:r w:rsidRPr="009E4373">
        <w:rPr>
          <w:color w:val="auto"/>
        </w:rPr>
        <w:t xml:space="preserve">The Support to Study Policy </w:t>
      </w:r>
      <w:r w:rsidR="0036176B" w:rsidRPr="009E4373">
        <w:rPr>
          <w:color w:val="auto"/>
        </w:rPr>
        <w:t>and Procedure</w:t>
      </w:r>
      <w:r w:rsidRPr="009E4373">
        <w:rPr>
          <w:color w:val="auto"/>
        </w:rPr>
        <w:t xml:space="preserve"> applies to all students and to all aspects of university life. This process is not disciplinary, its aim is to ensure </w:t>
      </w:r>
      <w:r w:rsidRPr="00F000D3">
        <w:rPr>
          <w:color w:val="auto"/>
        </w:rPr>
        <w:t>that students are fully supported and that any adjustments, referrals, or temporary changes (such as a break in studies) can be explored in partnership with a student</w:t>
      </w:r>
      <w:r w:rsidR="00C3235F" w:rsidRPr="00F000D3">
        <w:rPr>
          <w:color w:val="auto"/>
        </w:rPr>
        <w:t>.</w:t>
      </w:r>
    </w:p>
    <w:p w14:paraId="4F5C69B4" w14:textId="77777777" w:rsidR="00635F7C" w:rsidRPr="00F5243C" w:rsidRDefault="00635F7C" w:rsidP="00635F7C">
      <w:pPr>
        <w:pStyle w:val="Heading2"/>
        <w:rPr>
          <w:color w:val="auto"/>
        </w:rPr>
      </w:pPr>
      <w:r w:rsidRPr="00F000D3">
        <w:rPr>
          <w:color w:val="auto"/>
        </w:rPr>
        <w:t xml:space="preserve">This policy provides staff with a framework to engage students in this process and, if appropriate, to co-design a Support to Study plan. If followed consistently, the </w:t>
      </w:r>
      <w:proofErr w:type="spellStart"/>
      <w:r w:rsidRPr="00F000D3">
        <w:rPr>
          <w:color w:val="auto"/>
        </w:rPr>
        <w:t>S</w:t>
      </w:r>
      <w:r>
        <w:rPr>
          <w:color w:val="auto"/>
        </w:rPr>
        <w:t>t</w:t>
      </w:r>
      <w:r w:rsidRPr="00F000D3">
        <w:rPr>
          <w:color w:val="auto"/>
        </w:rPr>
        <w:t>S</w:t>
      </w:r>
      <w:proofErr w:type="spellEnd"/>
      <w:r w:rsidRPr="00F000D3">
        <w:rPr>
          <w:color w:val="auto"/>
        </w:rPr>
        <w:t xml:space="preserve"> process can help students to re-engage with and succeed in their studies.</w:t>
      </w:r>
    </w:p>
    <w:p w14:paraId="705484DF" w14:textId="163942F0" w:rsidR="5E802755" w:rsidRPr="00F5243C" w:rsidRDefault="0036176B" w:rsidP="5E802755">
      <w:pPr>
        <w:pStyle w:val="Heading2"/>
        <w:rPr>
          <w:color w:val="auto"/>
        </w:rPr>
      </w:pPr>
      <w:r w:rsidRPr="00F000D3">
        <w:rPr>
          <w:color w:val="auto"/>
        </w:rPr>
        <w:t xml:space="preserve">The Support to Study </w:t>
      </w:r>
      <w:r w:rsidRPr="009E4373">
        <w:rPr>
          <w:color w:val="auto"/>
        </w:rPr>
        <w:t xml:space="preserve">Policy and Procedure </w:t>
      </w:r>
      <w:r w:rsidR="000E3FE3" w:rsidRPr="009E4373">
        <w:rPr>
          <w:color w:val="auto"/>
        </w:rPr>
        <w:t xml:space="preserve">comprises </w:t>
      </w:r>
      <w:r w:rsidR="51AC8E7C" w:rsidRPr="00F000D3">
        <w:rPr>
          <w:color w:val="auto"/>
        </w:rPr>
        <w:t>a</w:t>
      </w:r>
      <w:r w:rsidR="284E42A9" w:rsidRPr="00F000D3">
        <w:rPr>
          <w:color w:val="auto"/>
        </w:rPr>
        <w:t>n initial</w:t>
      </w:r>
      <w:r w:rsidR="51AC8E7C" w:rsidRPr="00F000D3">
        <w:rPr>
          <w:color w:val="auto"/>
        </w:rPr>
        <w:t xml:space="preserve"> </w:t>
      </w:r>
      <w:r w:rsidR="009E4373">
        <w:rPr>
          <w:color w:val="auto"/>
        </w:rPr>
        <w:t>‘</w:t>
      </w:r>
      <w:r w:rsidR="50E5E219" w:rsidRPr="00F000D3">
        <w:rPr>
          <w:color w:val="auto"/>
        </w:rPr>
        <w:t>T</w:t>
      </w:r>
      <w:r w:rsidR="51AC8E7C" w:rsidRPr="00F000D3">
        <w:rPr>
          <w:color w:val="auto"/>
        </w:rPr>
        <w:t xml:space="preserve">ransition into </w:t>
      </w:r>
      <w:r w:rsidR="14771856" w:rsidRPr="00F000D3">
        <w:rPr>
          <w:color w:val="auto"/>
        </w:rPr>
        <w:t>S</w:t>
      </w:r>
      <w:r w:rsidR="51AC8E7C" w:rsidRPr="00F000D3">
        <w:rPr>
          <w:color w:val="auto"/>
        </w:rPr>
        <w:t>tudy</w:t>
      </w:r>
      <w:r w:rsidR="009E4373">
        <w:rPr>
          <w:color w:val="auto"/>
        </w:rPr>
        <w:t>’</w:t>
      </w:r>
      <w:r w:rsidR="51AC8E7C" w:rsidRPr="00F000D3">
        <w:rPr>
          <w:color w:val="auto"/>
        </w:rPr>
        <w:t xml:space="preserve"> stage</w:t>
      </w:r>
      <w:r w:rsidR="7BC67BB0" w:rsidRPr="00F000D3">
        <w:rPr>
          <w:color w:val="auto"/>
        </w:rPr>
        <w:t xml:space="preserve"> aimed</w:t>
      </w:r>
      <w:r w:rsidR="1A764FBC" w:rsidRPr="00F000D3">
        <w:rPr>
          <w:color w:val="auto"/>
        </w:rPr>
        <w:t xml:space="preserve"> at weeks 1 &amp; 2</w:t>
      </w:r>
      <w:r w:rsidR="2D0D4B24" w:rsidRPr="00F000D3">
        <w:rPr>
          <w:color w:val="auto"/>
        </w:rPr>
        <w:t xml:space="preserve"> of term</w:t>
      </w:r>
      <w:r w:rsidR="1A764FBC" w:rsidRPr="00F000D3">
        <w:rPr>
          <w:color w:val="auto"/>
        </w:rPr>
        <w:t>,</w:t>
      </w:r>
      <w:r w:rsidR="51AC8E7C" w:rsidRPr="00F000D3">
        <w:rPr>
          <w:color w:val="auto"/>
        </w:rPr>
        <w:t xml:space="preserve"> </w:t>
      </w:r>
      <w:r w:rsidR="30DDBA9C" w:rsidRPr="00F000D3">
        <w:rPr>
          <w:color w:val="auto"/>
        </w:rPr>
        <w:t>focussing on</w:t>
      </w:r>
      <w:r w:rsidR="51AC8E7C" w:rsidRPr="00F000D3">
        <w:rPr>
          <w:color w:val="auto"/>
        </w:rPr>
        <w:t xml:space="preserve"> early intervention and</w:t>
      </w:r>
      <w:r w:rsidR="21727B3B" w:rsidRPr="00F000D3">
        <w:rPr>
          <w:color w:val="auto"/>
        </w:rPr>
        <w:t xml:space="preserve"> three</w:t>
      </w:r>
      <w:r w:rsidR="18BF6530" w:rsidRPr="00F000D3">
        <w:rPr>
          <w:color w:val="auto"/>
        </w:rPr>
        <w:t xml:space="preserve"> subsequent</w:t>
      </w:r>
      <w:r w:rsidR="1B24E6BB" w:rsidRPr="00F000D3">
        <w:rPr>
          <w:color w:val="auto"/>
        </w:rPr>
        <w:t xml:space="preserve"> </w:t>
      </w:r>
      <w:r w:rsidR="21727B3B" w:rsidRPr="00F000D3">
        <w:rPr>
          <w:color w:val="auto"/>
        </w:rPr>
        <w:t>stages</w:t>
      </w:r>
      <w:r w:rsidR="58B0879C" w:rsidRPr="00F000D3">
        <w:rPr>
          <w:color w:val="auto"/>
        </w:rPr>
        <w:t xml:space="preserve"> escalating in</w:t>
      </w:r>
      <w:r w:rsidR="0F326590" w:rsidRPr="00F000D3">
        <w:rPr>
          <w:color w:val="auto"/>
        </w:rPr>
        <w:t xml:space="preserve"> formality and</w:t>
      </w:r>
      <w:r w:rsidR="58B0879C" w:rsidRPr="00F000D3">
        <w:rPr>
          <w:color w:val="auto"/>
        </w:rPr>
        <w:t xml:space="preserve"> </w:t>
      </w:r>
      <w:r w:rsidR="6427F74C" w:rsidRPr="00F000D3">
        <w:rPr>
          <w:color w:val="auto"/>
        </w:rPr>
        <w:t xml:space="preserve">the </w:t>
      </w:r>
      <w:r w:rsidR="58B0879C" w:rsidRPr="00F000D3">
        <w:rPr>
          <w:color w:val="auto"/>
        </w:rPr>
        <w:t>leve</w:t>
      </w:r>
      <w:r w:rsidR="152809A7" w:rsidRPr="00F000D3">
        <w:rPr>
          <w:color w:val="auto"/>
        </w:rPr>
        <w:t>l</w:t>
      </w:r>
      <w:r w:rsidR="58B0879C" w:rsidRPr="00F000D3">
        <w:rPr>
          <w:color w:val="auto"/>
        </w:rPr>
        <w:t xml:space="preserve"> of support offered to a student</w:t>
      </w:r>
      <w:r w:rsidR="21727B3B" w:rsidRPr="00F000D3">
        <w:rPr>
          <w:color w:val="auto"/>
        </w:rPr>
        <w:t>.</w:t>
      </w:r>
      <w:r w:rsidR="000E3FE3">
        <w:rPr>
          <w:color w:val="auto"/>
        </w:rPr>
        <w:t xml:space="preserve"> </w:t>
      </w:r>
      <w:r w:rsidR="21727B3B" w:rsidRPr="00F000D3">
        <w:rPr>
          <w:color w:val="auto"/>
        </w:rPr>
        <w:t xml:space="preserve">Typically, staff should follow these stages in order. In situations where the nature of the issues and their impact are particularly serious, and the </w:t>
      </w:r>
      <w:r w:rsidR="00AD6592" w:rsidRPr="00F000D3">
        <w:rPr>
          <w:color w:val="auto"/>
        </w:rPr>
        <w:t>U</w:t>
      </w:r>
      <w:r w:rsidR="21727B3B" w:rsidRPr="00F000D3">
        <w:rPr>
          <w:color w:val="auto"/>
        </w:rPr>
        <w:t>niversity has reasonable grounds to believe that earlier stages would not provide a meaningful or supportive resolution, it may be appropriate to move directly to a later stage.</w:t>
      </w:r>
    </w:p>
    <w:p w14:paraId="48F7BFFC" w14:textId="4200EE4E" w:rsidR="009359B4" w:rsidRDefault="00844206" w:rsidP="00AD6592">
      <w:pPr>
        <w:pStyle w:val="Heading1"/>
      </w:pPr>
      <w:r w:rsidRPr="00AD6592">
        <w:t>Scope</w:t>
      </w:r>
    </w:p>
    <w:p w14:paraId="547FA271" w14:textId="00B578F7" w:rsidR="0058261B" w:rsidRPr="00F000D3" w:rsidRDefault="6090D6A1" w:rsidP="00AD6592">
      <w:pPr>
        <w:pStyle w:val="Heading2"/>
        <w:rPr>
          <w:color w:val="auto"/>
        </w:rPr>
      </w:pPr>
      <w:r w:rsidRPr="00F000D3">
        <w:rPr>
          <w:color w:val="auto"/>
        </w:rPr>
        <w:t xml:space="preserve">The policy applies to all students enrolled to study </w:t>
      </w:r>
      <w:r w:rsidR="0DB80E9D" w:rsidRPr="00F000D3">
        <w:rPr>
          <w:color w:val="auto"/>
        </w:rPr>
        <w:t>at</w:t>
      </w:r>
      <w:r w:rsidRPr="00F000D3">
        <w:rPr>
          <w:color w:val="auto"/>
        </w:rPr>
        <w:t xml:space="preserve"> one of Cardiff Met’s Cardiff campuses, including undergraduate, postgraduate, full-time, part-time, </w:t>
      </w:r>
      <w:r w:rsidR="05577879" w:rsidRPr="00F000D3">
        <w:rPr>
          <w:color w:val="auto"/>
        </w:rPr>
        <w:t>international</w:t>
      </w:r>
      <w:r w:rsidRPr="00F000D3">
        <w:rPr>
          <w:color w:val="auto"/>
        </w:rPr>
        <w:t xml:space="preserve"> and degree apprenticeship students</w:t>
      </w:r>
      <w:r w:rsidR="00D52783" w:rsidRPr="00F000D3">
        <w:rPr>
          <w:color w:val="auto"/>
        </w:rPr>
        <w:t>.</w:t>
      </w:r>
    </w:p>
    <w:p w14:paraId="6FAF7D45" w14:textId="2DC9C077" w:rsidR="00C3235F" w:rsidRPr="00F000D3" w:rsidRDefault="00E51F44" w:rsidP="00AD6592">
      <w:pPr>
        <w:pStyle w:val="Heading2"/>
        <w:rPr>
          <w:color w:val="auto"/>
        </w:rPr>
      </w:pPr>
      <w:r w:rsidRPr="00E51F44">
        <w:rPr>
          <w:rFonts w:eastAsiaTheme="minorEastAsia"/>
          <w:color w:val="auto"/>
        </w:rPr>
        <w:t xml:space="preserve">Over reliance on Mitigating Circumstances and/or concerns highlighted via Met Stats engagement data will trigger a student referral into Support to Study. </w:t>
      </w:r>
      <w:r w:rsidR="21727B3B" w:rsidRPr="00E51F44">
        <w:rPr>
          <w:color w:val="auto"/>
        </w:rPr>
        <w:t>Where</w:t>
      </w:r>
      <w:r w:rsidR="1A3C6A9E" w:rsidRPr="00E51F44">
        <w:rPr>
          <w:color w:val="auto"/>
        </w:rPr>
        <w:t xml:space="preserve"> </w:t>
      </w:r>
      <w:r w:rsidR="1A3C6A9E" w:rsidRPr="00F000D3">
        <w:rPr>
          <w:color w:val="auto"/>
        </w:rPr>
        <w:t>data</w:t>
      </w:r>
      <w:r w:rsidR="00C41292" w:rsidRPr="00F000D3">
        <w:rPr>
          <w:color w:val="auto"/>
        </w:rPr>
        <w:t xml:space="preserve"> </w:t>
      </w:r>
      <w:proofErr w:type="gramStart"/>
      <w:r w:rsidR="00E17360" w:rsidRPr="00F000D3">
        <w:rPr>
          <w:color w:val="auto"/>
        </w:rPr>
        <w:t>evidence</w:t>
      </w:r>
      <w:r w:rsidR="009E4373">
        <w:rPr>
          <w:color w:val="auto"/>
        </w:rPr>
        <w:t>s</w:t>
      </w:r>
      <w:proofErr w:type="gramEnd"/>
      <w:r w:rsidR="2B99617D" w:rsidRPr="00F000D3">
        <w:rPr>
          <w:color w:val="auto"/>
        </w:rPr>
        <w:t xml:space="preserve"> a lack of engagement</w:t>
      </w:r>
      <w:r w:rsidR="1F125BF3" w:rsidRPr="00F000D3">
        <w:rPr>
          <w:color w:val="auto"/>
        </w:rPr>
        <w:t xml:space="preserve"> and progress</w:t>
      </w:r>
      <w:r w:rsidR="2B99617D" w:rsidRPr="00F000D3">
        <w:rPr>
          <w:color w:val="auto"/>
        </w:rPr>
        <w:t xml:space="preserve">, which could include </w:t>
      </w:r>
      <w:r w:rsidR="36162FB8" w:rsidRPr="00F000D3">
        <w:rPr>
          <w:color w:val="auto"/>
        </w:rPr>
        <w:t>ac</w:t>
      </w:r>
      <w:r w:rsidR="53B9399D" w:rsidRPr="00F000D3">
        <w:rPr>
          <w:color w:val="auto"/>
        </w:rPr>
        <w:t>ademic concerns, behavioural issues</w:t>
      </w:r>
      <w:r w:rsidR="3E201E39" w:rsidRPr="00F000D3">
        <w:rPr>
          <w:color w:val="auto"/>
        </w:rPr>
        <w:t>,</w:t>
      </w:r>
      <w:r w:rsidR="53B9399D" w:rsidRPr="00F000D3">
        <w:rPr>
          <w:color w:val="auto"/>
        </w:rPr>
        <w:t xml:space="preserve"> health, or wellbeing issues</w:t>
      </w:r>
      <w:r w:rsidR="21727B3B" w:rsidRPr="00F000D3">
        <w:rPr>
          <w:color w:val="auto"/>
        </w:rPr>
        <w:t xml:space="preserve"> </w:t>
      </w:r>
      <w:r w:rsidR="08F82B4B" w:rsidRPr="00F000D3">
        <w:rPr>
          <w:color w:val="auto"/>
        </w:rPr>
        <w:t xml:space="preserve">which persist, then Stage 1 of the Support to Study procedure should be initiated. </w:t>
      </w:r>
      <w:r w:rsidR="001F1F80" w:rsidRPr="001F1F80">
        <w:rPr>
          <w:rFonts w:eastAsiaTheme="minorEastAsia"/>
          <w:color w:val="auto"/>
        </w:rPr>
        <w:t xml:space="preserve">Personal Academic Tutors </w:t>
      </w:r>
      <w:r w:rsidR="00C92648">
        <w:rPr>
          <w:rFonts w:eastAsiaTheme="minorEastAsia"/>
          <w:color w:val="auto"/>
        </w:rPr>
        <w:t xml:space="preserve">(PAT) </w:t>
      </w:r>
      <w:r w:rsidR="001F1F80" w:rsidRPr="001F1F80">
        <w:rPr>
          <w:rFonts w:eastAsiaTheme="minorEastAsia"/>
          <w:color w:val="auto"/>
        </w:rPr>
        <w:t>will also be able to refer students who are a concern into this process.</w:t>
      </w:r>
    </w:p>
    <w:p w14:paraId="53662F1B" w14:textId="62AE9BD8" w:rsidR="00A05E79" w:rsidRPr="00A338EC" w:rsidRDefault="21727B3B" w:rsidP="00AD6592">
      <w:pPr>
        <w:pStyle w:val="Heading1"/>
      </w:pPr>
      <w:r w:rsidRPr="00AD6592">
        <w:t>Principles</w:t>
      </w:r>
    </w:p>
    <w:p w14:paraId="1E58FFDA" w14:textId="62E4F483" w:rsidR="00C3235F" w:rsidRPr="00EE5853" w:rsidRDefault="21727B3B" w:rsidP="00EE5853">
      <w:pPr>
        <w:pStyle w:val="Heading2"/>
        <w:rPr>
          <w:color w:val="auto"/>
        </w:rPr>
      </w:pPr>
      <w:r w:rsidRPr="00EE5853">
        <w:rPr>
          <w:color w:val="auto"/>
        </w:rPr>
        <w:t xml:space="preserve">This policy </w:t>
      </w:r>
      <w:r w:rsidR="3C86B195" w:rsidRPr="00EE5853">
        <w:rPr>
          <w:color w:val="auto"/>
        </w:rPr>
        <w:t>emphasise</w:t>
      </w:r>
      <w:r w:rsidR="00EE5853" w:rsidRPr="00EE5853">
        <w:rPr>
          <w:color w:val="auto"/>
        </w:rPr>
        <w:t>s</w:t>
      </w:r>
      <w:r w:rsidRPr="00EE5853">
        <w:rPr>
          <w:color w:val="auto"/>
        </w:rPr>
        <w:t xml:space="preserve"> early intervention and a collaborative approach between students, academic and support services colleagues.</w:t>
      </w:r>
    </w:p>
    <w:p w14:paraId="011A8541" w14:textId="3346B210" w:rsidR="00C3235F" w:rsidRPr="00EE5853" w:rsidRDefault="00C3235F" w:rsidP="00EE5853">
      <w:pPr>
        <w:pStyle w:val="Heading2"/>
        <w:rPr>
          <w:color w:val="auto"/>
        </w:rPr>
      </w:pPr>
      <w:r w:rsidRPr="00EE5853">
        <w:rPr>
          <w:color w:val="auto"/>
        </w:rPr>
        <w:lastRenderedPageBreak/>
        <w:t>Students are responsible for their health and wellbeing and should take the necessary steps to manage their condition</w:t>
      </w:r>
      <w:r w:rsidR="002F3926">
        <w:rPr>
          <w:color w:val="auto"/>
        </w:rPr>
        <w:t>(</w:t>
      </w:r>
      <w:r w:rsidRPr="00EE5853">
        <w:rPr>
          <w:color w:val="auto"/>
        </w:rPr>
        <w:t>s</w:t>
      </w:r>
      <w:r w:rsidR="002F3926">
        <w:rPr>
          <w:color w:val="auto"/>
        </w:rPr>
        <w:t>)</w:t>
      </w:r>
      <w:r w:rsidRPr="00EE5853">
        <w:rPr>
          <w:color w:val="auto"/>
        </w:rPr>
        <w:t xml:space="preserve"> as best they are able. This includes fully engaging with </w:t>
      </w:r>
      <w:r w:rsidR="002F3926">
        <w:rPr>
          <w:color w:val="auto"/>
        </w:rPr>
        <w:t>u</w:t>
      </w:r>
      <w:r w:rsidRPr="00EE5853">
        <w:rPr>
          <w:color w:val="auto"/>
        </w:rPr>
        <w:t>niversity support services and</w:t>
      </w:r>
      <w:r w:rsidR="002F3926">
        <w:rPr>
          <w:color w:val="auto"/>
        </w:rPr>
        <w:t>,</w:t>
      </w:r>
      <w:r w:rsidRPr="00EE5853">
        <w:rPr>
          <w:color w:val="auto"/>
        </w:rPr>
        <w:t xml:space="preserve"> where appropriate</w:t>
      </w:r>
      <w:r w:rsidR="002F3926">
        <w:rPr>
          <w:color w:val="auto"/>
        </w:rPr>
        <w:t>,</w:t>
      </w:r>
      <w:r w:rsidRPr="00EE5853">
        <w:rPr>
          <w:color w:val="auto"/>
        </w:rPr>
        <w:t xml:space="preserve"> NHS services, as required by their Support to Study plan.   </w:t>
      </w:r>
    </w:p>
    <w:p w14:paraId="4416F8C1" w14:textId="43E1E55C" w:rsidR="001C33EE" w:rsidRPr="00EE5853" w:rsidRDefault="21727B3B" w:rsidP="00EE5853">
      <w:pPr>
        <w:pStyle w:val="Heading2"/>
        <w:rPr>
          <w:color w:val="auto"/>
        </w:rPr>
      </w:pPr>
      <w:r w:rsidRPr="00EE5853">
        <w:rPr>
          <w:color w:val="auto"/>
        </w:rPr>
        <w:t>The Support to Study Policy is closely linked to the Mitigating Circumstances Policy to ensure consistent and timely support is offered to all students</w:t>
      </w:r>
      <w:r w:rsidR="000049B1">
        <w:rPr>
          <w:color w:val="auto"/>
        </w:rPr>
        <w:t xml:space="preserve"> (see 4.2)</w:t>
      </w:r>
      <w:r w:rsidRPr="00EE5853">
        <w:rPr>
          <w:color w:val="auto"/>
        </w:rPr>
        <w:t>. Students who utilise Mitigating Circumstances can expect a referral into the Support to Study process.</w:t>
      </w:r>
      <w:r w:rsidR="62B95075" w:rsidRPr="00EE5853">
        <w:rPr>
          <w:color w:val="auto"/>
        </w:rPr>
        <w:t xml:space="preserve"> This would usually happen at Stage 1 of the</w:t>
      </w:r>
      <w:r w:rsidR="23C0424C" w:rsidRPr="00EE5853">
        <w:rPr>
          <w:color w:val="auto"/>
        </w:rPr>
        <w:t xml:space="preserve"> Support to Study</w:t>
      </w:r>
      <w:r w:rsidR="62B95075" w:rsidRPr="00EE5853">
        <w:rPr>
          <w:color w:val="auto"/>
        </w:rPr>
        <w:t xml:space="preserve"> process but under certain circumstances may</w:t>
      </w:r>
      <w:r w:rsidR="136393E9" w:rsidRPr="00EE5853">
        <w:rPr>
          <w:color w:val="auto"/>
        </w:rPr>
        <w:t xml:space="preserve"> also</w:t>
      </w:r>
      <w:r w:rsidR="62B95075" w:rsidRPr="00EE5853">
        <w:rPr>
          <w:color w:val="auto"/>
        </w:rPr>
        <w:t xml:space="preserve"> occur at Stage 2</w:t>
      </w:r>
      <w:r w:rsidR="5B351C48" w:rsidRPr="00EE5853">
        <w:rPr>
          <w:color w:val="auto"/>
        </w:rPr>
        <w:t>.</w:t>
      </w:r>
    </w:p>
    <w:p w14:paraId="72B62CE6" w14:textId="465C23D5" w:rsidR="00C3235F" w:rsidRPr="00EE5853" w:rsidRDefault="21727B3B" w:rsidP="00EE5853">
      <w:pPr>
        <w:pStyle w:val="Heading2"/>
        <w:rPr>
          <w:color w:val="auto"/>
        </w:rPr>
      </w:pPr>
      <w:r w:rsidRPr="00EE5853">
        <w:rPr>
          <w:color w:val="auto"/>
        </w:rPr>
        <w:t>There</w:t>
      </w:r>
      <w:r w:rsidR="264DED89" w:rsidRPr="00EE5853">
        <w:rPr>
          <w:color w:val="auto"/>
        </w:rPr>
        <w:t xml:space="preserve"> is a Transition into Study and</w:t>
      </w:r>
      <w:r w:rsidRPr="00EE5853">
        <w:rPr>
          <w:color w:val="auto"/>
        </w:rPr>
        <w:t xml:space="preserve"> </w:t>
      </w:r>
      <w:r w:rsidR="00935A1B">
        <w:rPr>
          <w:color w:val="auto"/>
        </w:rPr>
        <w:t>three</w:t>
      </w:r>
      <w:r w:rsidRPr="00EE5853">
        <w:rPr>
          <w:color w:val="auto"/>
        </w:rPr>
        <w:t xml:space="preserve"> escalating stages of the Support to Study process. Students will be triaged into the most appropriate stage based on their individual level of need and circumstances at the time. </w:t>
      </w:r>
    </w:p>
    <w:p w14:paraId="688B82C2" w14:textId="1A21B444" w:rsidR="00C3235F" w:rsidRPr="00EE5853" w:rsidRDefault="21727B3B" w:rsidP="00EE5853">
      <w:pPr>
        <w:pStyle w:val="Heading2"/>
        <w:rPr>
          <w:color w:val="auto"/>
        </w:rPr>
      </w:pPr>
      <w:r w:rsidRPr="00EE5853">
        <w:rPr>
          <w:color w:val="auto"/>
        </w:rPr>
        <w:t>Staff supporting a student through the Support to Study process should adopt a compassionate and collaborative approach, recognising that this is a supportive step designed to help the student succeed. Th</w:t>
      </w:r>
      <w:r w:rsidR="04AA149B" w:rsidRPr="00EE5853">
        <w:rPr>
          <w:color w:val="auto"/>
        </w:rPr>
        <w:t>is</w:t>
      </w:r>
      <w:r w:rsidRPr="00EE5853">
        <w:rPr>
          <w:color w:val="auto"/>
        </w:rPr>
        <w:t xml:space="preserve"> process is a</w:t>
      </w:r>
      <w:r w:rsidR="3BED8D18" w:rsidRPr="00EE5853">
        <w:rPr>
          <w:color w:val="auto"/>
        </w:rPr>
        <w:t xml:space="preserve"> key student retention and progression </w:t>
      </w:r>
      <w:r w:rsidR="33C41354" w:rsidRPr="00EE5853">
        <w:rPr>
          <w:color w:val="auto"/>
        </w:rPr>
        <w:t>tool</w:t>
      </w:r>
      <w:r w:rsidR="50437631" w:rsidRPr="00EE5853">
        <w:rPr>
          <w:color w:val="auto"/>
        </w:rPr>
        <w:t>,</w:t>
      </w:r>
      <w:r w:rsidRPr="00EE5853">
        <w:rPr>
          <w:color w:val="auto"/>
        </w:rPr>
        <w:t xml:space="preserve"> ensur</w:t>
      </w:r>
      <w:r w:rsidR="73433DF5" w:rsidRPr="00EE5853">
        <w:rPr>
          <w:color w:val="auto"/>
        </w:rPr>
        <w:t>ing</w:t>
      </w:r>
      <w:r w:rsidRPr="00EE5853">
        <w:rPr>
          <w:color w:val="auto"/>
        </w:rPr>
        <w:t xml:space="preserve"> students</w:t>
      </w:r>
      <w:r w:rsidR="202D31FB" w:rsidRPr="00EE5853">
        <w:rPr>
          <w:color w:val="auto"/>
        </w:rPr>
        <w:t xml:space="preserve"> who</w:t>
      </w:r>
      <w:r w:rsidR="00D52783" w:rsidRPr="00EE5853">
        <w:rPr>
          <w:color w:val="auto"/>
        </w:rPr>
        <w:t xml:space="preserve"> are</w:t>
      </w:r>
      <w:r w:rsidR="202D31FB" w:rsidRPr="00EE5853">
        <w:rPr>
          <w:color w:val="auto"/>
        </w:rPr>
        <w:t xml:space="preserve"> experiencing a range of difficulties and challenges</w:t>
      </w:r>
      <w:r w:rsidRPr="00EE5853">
        <w:rPr>
          <w:color w:val="auto"/>
        </w:rPr>
        <w:t xml:space="preserve"> are well-supported</w:t>
      </w:r>
      <w:r w:rsidR="6B232CBB" w:rsidRPr="00EE5853">
        <w:rPr>
          <w:color w:val="auto"/>
        </w:rPr>
        <w:t xml:space="preserve">. </w:t>
      </w:r>
      <w:r w:rsidR="1993A0E7" w:rsidRPr="00EE5853">
        <w:rPr>
          <w:color w:val="auto"/>
        </w:rPr>
        <w:t>W</w:t>
      </w:r>
      <w:r w:rsidRPr="00EE5853">
        <w:rPr>
          <w:color w:val="auto"/>
        </w:rPr>
        <w:t xml:space="preserve">ith consistent engagement from all involved, </w:t>
      </w:r>
      <w:r w:rsidR="67DA57C6" w:rsidRPr="00EE5853">
        <w:rPr>
          <w:color w:val="auto"/>
        </w:rPr>
        <w:t>this process</w:t>
      </w:r>
      <w:r w:rsidRPr="00EE5853">
        <w:rPr>
          <w:color w:val="auto"/>
        </w:rPr>
        <w:t xml:space="preserve"> can lead to positive and sustainable outcomes</w:t>
      </w:r>
      <w:r w:rsidR="1D34346D" w:rsidRPr="00EE5853">
        <w:rPr>
          <w:color w:val="auto"/>
        </w:rPr>
        <w:t xml:space="preserve"> for students</w:t>
      </w:r>
      <w:r w:rsidRPr="00EE5853">
        <w:rPr>
          <w:color w:val="auto"/>
        </w:rPr>
        <w:t>.</w:t>
      </w:r>
    </w:p>
    <w:p w14:paraId="2F958C49" w14:textId="78809120" w:rsidR="00062E7D" w:rsidRPr="00F000D3" w:rsidRDefault="00C3235F" w:rsidP="00EE5853">
      <w:pPr>
        <w:pStyle w:val="Heading2"/>
      </w:pPr>
      <w:r w:rsidRPr="00EE5853">
        <w:rPr>
          <w:color w:val="auto"/>
        </w:rPr>
        <w:t xml:space="preserve">If a student is unable or unwilling to enter a Support to Study process, the </w:t>
      </w:r>
      <w:r w:rsidR="00AD6592" w:rsidRPr="00EE5853">
        <w:rPr>
          <w:color w:val="auto"/>
        </w:rPr>
        <w:t>U</w:t>
      </w:r>
      <w:r w:rsidRPr="00EE5853">
        <w:rPr>
          <w:color w:val="auto"/>
        </w:rPr>
        <w:t>niversity can implement this procedure without the student’s engagement or agreement, particularly if there is risk to the student and/or the wider community at Cardiff Met</w:t>
      </w:r>
      <w:r w:rsidR="00093139">
        <w:rPr>
          <w:color w:val="auto"/>
        </w:rPr>
        <w:t xml:space="preserve"> -</w:t>
      </w:r>
      <w:r w:rsidRPr="00EE5853">
        <w:rPr>
          <w:color w:val="auto"/>
        </w:rPr>
        <w:t xml:space="preserve"> Stage 3 of the process will be enacted at this point.</w:t>
      </w:r>
    </w:p>
    <w:p w14:paraId="7A749040" w14:textId="390F5667" w:rsidR="59C452B5" w:rsidRDefault="59C452B5" w:rsidP="00765264">
      <w:pPr>
        <w:pStyle w:val="ListParagraph"/>
        <w:ind w:left="1080"/>
      </w:pPr>
    </w:p>
    <w:p w14:paraId="1966C443" w14:textId="311E89BA" w:rsidR="002C037B" w:rsidRPr="00765264" w:rsidRDefault="00AE3A65" w:rsidP="00935A1B">
      <w:pPr>
        <w:pStyle w:val="Heading1"/>
      </w:pPr>
      <w:bookmarkStart w:id="7" w:name="_Toc77936663"/>
      <w:r w:rsidRPr="00765264">
        <w:t>Related Policies and Procedures</w:t>
      </w:r>
      <w:bookmarkEnd w:id="7"/>
    </w:p>
    <w:p w14:paraId="0FE24853" w14:textId="20F224A6" w:rsidR="007439A0" w:rsidRPr="00187AD2" w:rsidRDefault="007439A0" w:rsidP="00AD6592">
      <w:pPr>
        <w:pStyle w:val="Heading2"/>
        <w:rPr>
          <w:b/>
          <w:bCs/>
          <w:color w:val="auto"/>
        </w:rPr>
      </w:pPr>
      <w:r w:rsidRPr="00187AD2">
        <w:rPr>
          <w:b/>
          <w:bCs/>
          <w:color w:val="auto"/>
        </w:rPr>
        <w:t>Student Discipli</w:t>
      </w:r>
      <w:r w:rsidR="0093788B" w:rsidRPr="00187AD2">
        <w:rPr>
          <w:b/>
          <w:bCs/>
          <w:color w:val="auto"/>
        </w:rPr>
        <w:t xml:space="preserve">nary Procedure </w:t>
      </w:r>
    </w:p>
    <w:p w14:paraId="6DB2D803" w14:textId="1FED05E3" w:rsidR="007439A0" w:rsidRPr="002052EB" w:rsidRDefault="6B066DF5" w:rsidP="002052EB">
      <w:pPr>
        <w:pStyle w:val="Heading3"/>
        <w:rPr>
          <w:color w:val="auto"/>
        </w:rPr>
      </w:pPr>
      <w:r w:rsidRPr="002052EB">
        <w:rPr>
          <w:color w:val="auto"/>
        </w:rPr>
        <w:t>The Support to Study policy and proce</w:t>
      </w:r>
      <w:r w:rsidR="00036DA0" w:rsidRPr="002052EB">
        <w:rPr>
          <w:color w:val="auto"/>
        </w:rPr>
        <w:t>dure</w:t>
      </w:r>
      <w:r w:rsidRPr="002052EB">
        <w:rPr>
          <w:color w:val="auto"/>
        </w:rPr>
        <w:t xml:space="preserve"> can include support for students experiencing some behavioural issues, which </w:t>
      </w:r>
      <w:r w:rsidR="7A191E78" w:rsidRPr="002052EB">
        <w:rPr>
          <w:color w:val="auto"/>
        </w:rPr>
        <w:t xml:space="preserve">may </w:t>
      </w:r>
      <w:r w:rsidRPr="002052EB">
        <w:rPr>
          <w:color w:val="auto"/>
        </w:rPr>
        <w:t>be linked to physical or mental health issues. The impact of these behaviours will mainly impact the</w:t>
      </w:r>
      <w:r w:rsidR="7FC236A0" w:rsidRPr="002052EB">
        <w:rPr>
          <w:color w:val="auto"/>
        </w:rPr>
        <w:t xml:space="preserve"> </w:t>
      </w:r>
      <w:r w:rsidRPr="002052EB">
        <w:rPr>
          <w:color w:val="auto"/>
        </w:rPr>
        <w:t xml:space="preserve">student concerned and their academic progress, presenting no risk to the wider university community. </w:t>
      </w:r>
    </w:p>
    <w:p w14:paraId="0115DF28" w14:textId="5A423AEA" w:rsidR="007439A0" w:rsidRPr="002052EB" w:rsidRDefault="7DBC5AC4" w:rsidP="002052EB">
      <w:pPr>
        <w:pStyle w:val="Heading3"/>
        <w:rPr>
          <w:color w:val="auto"/>
        </w:rPr>
      </w:pPr>
      <w:r w:rsidRPr="002052EB">
        <w:rPr>
          <w:color w:val="auto"/>
        </w:rPr>
        <w:t>On occasion</w:t>
      </w:r>
      <w:r w:rsidR="1980A4BB" w:rsidRPr="002052EB">
        <w:rPr>
          <w:color w:val="auto"/>
        </w:rPr>
        <w:t>,</w:t>
      </w:r>
      <w:r w:rsidRPr="002052EB">
        <w:rPr>
          <w:color w:val="auto"/>
        </w:rPr>
        <w:t xml:space="preserve"> a student’s behaviour may present a risk to the wider community or the reputation of the </w:t>
      </w:r>
      <w:r w:rsidR="00AD6592" w:rsidRPr="002052EB">
        <w:rPr>
          <w:color w:val="auto"/>
        </w:rPr>
        <w:t>U</w:t>
      </w:r>
      <w:r w:rsidRPr="002052EB">
        <w:rPr>
          <w:color w:val="auto"/>
        </w:rPr>
        <w:t xml:space="preserve">niversity, for example the Police may be involved. In these instances, the Support to Study process may be suspended or superseded by the </w:t>
      </w:r>
      <w:hyperlink r:id="rId10" w:history="1">
        <w:r w:rsidRPr="00AC2EA5">
          <w:rPr>
            <w:rStyle w:val="Hyperlink"/>
            <w:color w:val="0070C0"/>
          </w:rPr>
          <w:t>Student Disciplin</w:t>
        </w:r>
        <w:r w:rsidR="4CE9FF91" w:rsidRPr="00AC2EA5">
          <w:rPr>
            <w:rStyle w:val="Hyperlink"/>
            <w:color w:val="0070C0"/>
          </w:rPr>
          <w:t>ary</w:t>
        </w:r>
        <w:r w:rsidRPr="00AC2EA5">
          <w:rPr>
            <w:rStyle w:val="Hyperlink"/>
            <w:color w:val="0070C0"/>
          </w:rPr>
          <w:t xml:space="preserve"> P</w:t>
        </w:r>
        <w:r w:rsidR="4FE548B3" w:rsidRPr="00AC2EA5">
          <w:rPr>
            <w:rStyle w:val="Hyperlink"/>
            <w:color w:val="0070C0"/>
          </w:rPr>
          <w:t>r</w:t>
        </w:r>
        <w:r w:rsidRPr="00AC2EA5">
          <w:rPr>
            <w:rStyle w:val="Hyperlink"/>
            <w:color w:val="0070C0"/>
          </w:rPr>
          <w:t>o</w:t>
        </w:r>
        <w:r w:rsidR="4FE548B3" w:rsidRPr="00AC2EA5">
          <w:rPr>
            <w:rStyle w:val="Hyperlink"/>
            <w:color w:val="0070C0"/>
          </w:rPr>
          <w:t>cedure</w:t>
        </w:r>
      </w:hyperlink>
      <w:r w:rsidRPr="002052EB">
        <w:rPr>
          <w:color w:val="auto"/>
        </w:rPr>
        <w:t xml:space="preserve">. </w:t>
      </w:r>
      <w:r w:rsidR="1E8BA14F" w:rsidRPr="002052EB">
        <w:rPr>
          <w:color w:val="auto"/>
        </w:rPr>
        <w:t>In line with the Student Disciplinary Procedure, a</w:t>
      </w:r>
      <w:r w:rsidR="26BBBAB7" w:rsidRPr="002052EB">
        <w:rPr>
          <w:color w:val="auto"/>
        </w:rPr>
        <w:t xml:space="preserve"> meeting of key stakeholders will be held, including the Complaints and Conduct team, to de</w:t>
      </w:r>
      <w:r w:rsidR="06D449D7" w:rsidRPr="002052EB">
        <w:rPr>
          <w:color w:val="auto"/>
        </w:rPr>
        <w:t>cide on the most appropriate</w:t>
      </w:r>
      <w:r w:rsidR="7D2E6C3E" w:rsidRPr="002052EB">
        <w:rPr>
          <w:color w:val="auto"/>
        </w:rPr>
        <w:t xml:space="preserve"> procedure to use. </w:t>
      </w:r>
    </w:p>
    <w:p w14:paraId="3F006691" w14:textId="788FB2CE" w:rsidR="007439A0" w:rsidRPr="002052EB" w:rsidRDefault="7DBC5AC4" w:rsidP="002052EB">
      <w:pPr>
        <w:pStyle w:val="Heading3"/>
        <w:rPr>
          <w:color w:val="auto"/>
        </w:rPr>
      </w:pPr>
      <w:r w:rsidRPr="002052EB">
        <w:rPr>
          <w:color w:val="auto"/>
        </w:rPr>
        <w:t xml:space="preserve">At other times, when a student’s behaviour appears to be connected to their mental or physical health, the University may choose to use the </w:t>
      </w:r>
      <w:proofErr w:type="spellStart"/>
      <w:r w:rsidRPr="002052EB">
        <w:rPr>
          <w:color w:val="auto"/>
        </w:rPr>
        <w:t>S</w:t>
      </w:r>
      <w:r w:rsidR="004F715F" w:rsidRPr="002052EB">
        <w:rPr>
          <w:color w:val="auto"/>
        </w:rPr>
        <w:t>t</w:t>
      </w:r>
      <w:r w:rsidRPr="002052EB">
        <w:rPr>
          <w:color w:val="auto"/>
        </w:rPr>
        <w:t>S</w:t>
      </w:r>
      <w:proofErr w:type="spellEnd"/>
      <w:r w:rsidRPr="002052EB">
        <w:rPr>
          <w:color w:val="auto"/>
        </w:rPr>
        <w:t xml:space="preserve"> </w:t>
      </w:r>
      <w:r w:rsidRPr="002052EB">
        <w:rPr>
          <w:color w:val="auto"/>
        </w:rPr>
        <w:lastRenderedPageBreak/>
        <w:t>procedure instead</w:t>
      </w:r>
      <w:r w:rsidR="48DC27E2" w:rsidRPr="002052EB">
        <w:rPr>
          <w:color w:val="auto"/>
        </w:rPr>
        <w:t>, which would have been agreed by a meeting of key stakeholders</w:t>
      </w:r>
      <w:r w:rsidR="3A82483C" w:rsidRPr="002052EB">
        <w:rPr>
          <w:color w:val="auto"/>
        </w:rPr>
        <w:t xml:space="preserve">. </w:t>
      </w:r>
    </w:p>
    <w:p w14:paraId="0D6BA73D" w14:textId="200FBA8E" w:rsidR="007439A0" w:rsidRPr="002052EB" w:rsidRDefault="5D37BECC" w:rsidP="002052EB">
      <w:pPr>
        <w:pStyle w:val="Heading3"/>
        <w:rPr>
          <w:color w:val="auto"/>
        </w:rPr>
      </w:pPr>
      <w:r w:rsidRPr="002052EB">
        <w:rPr>
          <w:color w:val="auto"/>
        </w:rPr>
        <w:t>Engaging with relevant stakeholders</w:t>
      </w:r>
      <w:r w:rsidR="7DBC5AC4" w:rsidRPr="002052EB">
        <w:rPr>
          <w:color w:val="auto"/>
        </w:rPr>
        <w:t xml:space="preserve"> allows </w:t>
      </w:r>
      <w:r w:rsidR="00F85F1A" w:rsidRPr="002052EB">
        <w:rPr>
          <w:color w:val="auto"/>
        </w:rPr>
        <w:t>the University</w:t>
      </w:r>
      <w:r w:rsidR="3DC9AFD8" w:rsidRPr="002052EB">
        <w:rPr>
          <w:color w:val="auto"/>
        </w:rPr>
        <w:t xml:space="preserve"> to identify and mitigate risk to the student, the wider community and</w:t>
      </w:r>
      <w:r w:rsidR="7DBC5AC4" w:rsidRPr="002052EB">
        <w:rPr>
          <w:color w:val="auto"/>
        </w:rPr>
        <w:t xml:space="preserve"> to</w:t>
      </w:r>
      <w:r w:rsidR="7B7C12EA" w:rsidRPr="002052EB">
        <w:rPr>
          <w:color w:val="auto"/>
        </w:rPr>
        <w:t xml:space="preserve"> the </w:t>
      </w:r>
      <w:r w:rsidR="00AD6592" w:rsidRPr="002052EB">
        <w:rPr>
          <w:color w:val="auto"/>
        </w:rPr>
        <w:t>U</w:t>
      </w:r>
      <w:r w:rsidR="7B7C12EA" w:rsidRPr="002052EB">
        <w:rPr>
          <w:color w:val="auto"/>
        </w:rPr>
        <w:t>niversity</w:t>
      </w:r>
      <w:r w:rsidR="7DBC5AC4" w:rsidRPr="002052EB">
        <w:rPr>
          <w:color w:val="auto"/>
        </w:rPr>
        <w:t xml:space="preserve"> </w:t>
      </w:r>
      <w:r w:rsidR="30E0E7D5" w:rsidRPr="002052EB">
        <w:rPr>
          <w:color w:val="auto"/>
        </w:rPr>
        <w:t>itself, focussing on the</w:t>
      </w:r>
      <w:r w:rsidR="33DFE351" w:rsidRPr="002052EB">
        <w:rPr>
          <w:color w:val="auto"/>
        </w:rPr>
        <w:t xml:space="preserve"> impact and</w:t>
      </w:r>
      <w:r w:rsidR="30E0E7D5" w:rsidRPr="002052EB">
        <w:rPr>
          <w:color w:val="auto"/>
        </w:rPr>
        <w:t xml:space="preserve"> underlying</w:t>
      </w:r>
      <w:r w:rsidR="7865B59D" w:rsidRPr="002052EB">
        <w:rPr>
          <w:color w:val="auto"/>
        </w:rPr>
        <w:t xml:space="preserve"> caus</w:t>
      </w:r>
      <w:r w:rsidR="635399B1" w:rsidRPr="002052EB">
        <w:rPr>
          <w:color w:val="auto"/>
        </w:rPr>
        <w:t>es of th</w:t>
      </w:r>
      <w:r w:rsidR="00F85F1A" w:rsidRPr="002052EB">
        <w:rPr>
          <w:color w:val="auto"/>
        </w:rPr>
        <w:t>e</w:t>
      </w:r>
      <w:r w:rsidR="635399B1" w:rsidRPr="002052EB">
        <w:rPr>
          <w:color w:val="auto"/>
        </w:rPr>
        <w:t xml:space="preserve"> unwanted</w:t>
      </w:r>
      <w:r w:rsidR="7865B59D" w:rsidRPr="002052EB">
        <w:rPr>
          <w:color w:val="auto"/>
        </w:rPr>
        <w:t xml:space="preserve"> behaviour</w:t>
      </w:r>
      <w:r w:rsidR="69473FF6" w:rsidRPr="002052EB">
        <w:rPr>
          <w:color w:val="auto"/>
        </w:rPr>
        <w:t xml:space="preserve">. </w:t>
      </w:r>
    </w:p>
    <w:p w14:paraId="581070F1" w14:textId="014F31FA" w:rsidR="007439A0" w:rsidRPr="009E4373" w:rsidRDefault="007439A0" w:rsidP="00935A1B">
      <w:pPr>
        <w:pStyle w:val="Heading2"/>
        <w:rPr>
          <w:b/>
          <w:bCs/>
          <w:color w:val="auto"/>
        </w:rPr>
      </w:pPr>
      <w:r w:rsidRPr="009E4373">
        <w:rPr>
          <w:b/>
          <w:bCs/>
          <w:color w:val="auto"/>
        </w:rPr>
        <w:t>Mitigating Circumstances</w:t>
      </w:r>
    </w:p>
    <w:p w14:paraId="09C9AC44" w14:textId="7B4B95D9" w:rsidR="007439A0" w:rsidRPr="009E4373" w:rsidRDefault="007439A0" w:rsidP="002052EB">
      <w:pPr>
        <w:pStyle w:val="Heading3"/>
        <w:rPr>
          <w:color w:val="auto"/>
        </w:rPr>
      </w:pPr>
      <w:r w:rsidRPr="009E4373">
        <w:rPr>
          <w:color w:val="auto"/>
        </w:rPr>
        <w:t xml:space="preserve">The University’s </w:t>
      </w:r>
      <w:proofErr w:type="spellStart"/>
      <w:r w:rsidRPr="009E4373">
        <w:rPr>
          <w:color w:val="auto"/>
        </w:rPr>
        <w:t>S</w:t>
      </w:r>
      <w:r w:rsidR="00036DA0" w:rsidRPr="009E4373">
        <w:rPr>
          <w:color w:val="auto"/>
        </w:rPr>
        <w:t>t</w:t>
      </w:r>
      <w:r w:rsidRPr="009E4373">
        <w:rPr>
          <w:color w:val="auto"/>
        </w:rPr>
        <w:t>S</w:t>
      </w:r>
      <w:proofErr w:type="spellEnd"/>
      <w:r w:rsidRPr="009E4373">
        <w:rPr>
          <w:color w:val="auto"/>
        </w:rPr>
        <w:t xml:space="preserve"> Policy works in close alignment with the </w:t>
      </w:r>
      <w:hyperlink r:id="rId11" w:history="1">
        <w:r w:rsidRPr="003968E9">
          <w:rPr>
            <w:rStyle w:val="Hyperlink"/>
          </w:rPr>
          <w:t>Mitigating Circumstances Policy,</w:t>
        </w:r>
      </w:hyperlink>
      <w:r w:rsidRPr="002052EB">
        <w:t xml:space="preserve"> </w:t>
      </w:r>
      <w:r w:rsidRPr="009E4373">
        <w:rPr>
          <w:color w:val="auto"/>
        </w:rPr>
        <w:t>recognising that ongoing or repeated use of Mitigating Circumstances may indicate a broader pattern of difficulties affecting a student’s ability to engage fully with their studies.</w:t>
      </w:r>
    </w:p>
    <w:p w14:paraId="18E25099" w14:textId="444213F7" w:rsidR="007439A0" w:rsidRPr="009E4373" w:rsidRDefault="7DBC5AC4" w:rsidP="002052EB">
      <w:pPr>
        <w:pStyle w:val="Heading3"/>
        <w:rPr>
          <w:color w:val="auto"/>
        </w:rPr>
      </w:pPr>
      <w:r w:rsidRPr="009E4373">
        <w:rPr>
          <w:color w:val="auto"/>
        </w:rPr>
        <w:t>Mitigating Circumstances</w:t>
      </w:r>
      <w:r w:rsidR="024EBD7E" w:rsidRPr="009E4373">
        <w:rPr>
          <w:color w:val="auto"/>
        </w:rPr>
        <w:t xml:space="preserve"> are designed to</w:t>
      </w:r>
      <w:r w:rsidRPr="009E4373">
        <w:rPr>
          <w:color w:val="auto"/>
        </w:rPr>
        <w:t xml:space="preserve"> provide short-term academic relief in response to unforeseen or acute events</w:t>
      </w:r>
      <w:r w:rsidR="6DEE5137" w:rsidRPr="009E4373">
        <w:rPr>
          <w:color w:val="auto"/>
        </w:rPr>
        <w:t>.</w:t>
      </w:r>
      <w:r w:rsidRPr="009E4373">
        <w:rPr>
          <w:color w:val="auto"/>
        </w:rPr>
        <w:t xml:space="preserve"> </w:t>
      </w:r>
      <w:r w:rsidR="726AD467" w:rsidRPr="009E4373">
        <w:rPr>
          <w:color w:val="auto"/>
        </w:rPr>
        <w:t>T</w:t>
      </w:r>
      <w:r w:rsidRPr="009E4373">
        <w:rPr>
          <w:color w:val="auto"/>
        </w:rPr>
        <w:t xml:space="preserve">he </w:t>
      </w:r>
      <w:proofErr w:type="spellStart"/>
      <w:r w:rsidRPr="009E4373">
        <w:rPr>
          <w:color w:val="auto"/>
        </w:rPr>
        <w:t>S</w:t>
      </w:r>
      <w:r w:rsidR="000049B1" w:rsidRPr="009E4373">
        <w:rPr>
          <w:color w:val="auto"/>
        </w:rPr>
        <w:t>t</w:t>
      </w:r>
      <w:r w:rsidRPr="009E4373">
        <w:rPr>
          <w:color w:val="auto"/>
        </w:rPr>
        <w:t>S</w:t>
      </w:r>
      <w:proofErr w:type="spellEnd"/>
      <w:r w:rsidRPr="009E4373">
        <w:rPr>
          <w:color w:val="auto"/>
        </w:rPr>
        <w:t xml:space="preserve"> process offers a more holistic and proactive approach</w:t>
      </w:r>
      <w:r w:rsidR="345BE367" w:rsidRPr="009E4373">
        <w:rPr>
          <w:color w:val="auto"/>
        </w:rPr>
        <w:t xml:space="preserve"> to the frequent</w:t>
      </w:r>
      <w:r w:rsidR="40A36651" w:rsidRPr="009E4373">
        <w:rPr>
          <w:color w:val="auto"/>
        </w:rPr>
        <w:t xml:space="preserve"> and reactive</w:t>
      </w:r>
      <w:r w:rsidR="345BE367" w:rsidRPr="009E4373">
        <w:rPr>
          <w:color w:val="auto"/>
        </w:rPr>
        <w:t xml:space="preserve"> use of Mitigating Circumstances by students to manage </w:t>
      </w:r>
      <w:r w:rsidRPr="009E4373">
        <w:rPr>
          <w:color w:val="auto"/>
        </w:rPr>
        <w:t>long-term</w:t>
      </w:r>
      <w:r w:rsidR="28C73401" w:rsidRPr="009E4373">
        <w:rPr>
          <w:color w:val="auto"/>
        </w:rPr>
        <w:t xml:space="preserve"> and</w:t>
      </w:r>
      <w:r w:rsidRPr="009E4373">
        <w:rPr>
          <w:color w:val="auto"/>
        </w:rPr>
        <w:t xml:space="preserve"> ongoing challenges. This process enables the University to work collaboratively with the student to assess their overall ability to study effectively, safely and sustainably.</w:t>
      </w:r>
    </w:p>
    <w:p w14:paraId="3D3AB148" w14:textId="6E29FB67" w:rsidR="007439A0" w:rsidRPr="009E4373" w:rsidRDefault="645DF7B9" w:rsidP="002052EB">
      <w:pPr>
        <w:pStyle w:val="Heading3"/>
        <w:rPr>
          <w:color w:val="auto"/>
        </w:rPr>
      </w:pPr>
      <w:r w:rsidRPr="009E4373">
        <w:rPr>
          <w:color w:val="auto"/>
        </w:rPr>
        <w:t xml:space="preserve">Where a student submits multiple Mitigating Circumstances </w:t>
      </w:r>
      <w:r w:rsidR="00D52783" w:rsidRPr="009E4373">
        <w:rPr>
          <w:color w:val="auto"/>
        </w:rPr>
        <w:t>declarations,</w:t>
      </w:r>
      <w:r w:rsidRPr="009E4373">
        <w:rPr>
          <w:color w:val="auto"/>
        </w:rPr>
        <w:t xml:space="preserve"> or where the nature of </w:t>
      </w:r>
      <w:r w:rsidR="0423BBE2" w:rsidRPr="009E4373">
        <w:rPr>
          <w:color w:val="auto"/>
        </w:rPr>
        <w:t xml:space="preserve">a </w:t>
      </w:r>
      <w:r w:rsidR="3B4DAA0D" w:rsidRPr="009E4373">
        <w:rPr>
          <w:color w:val="auto"/>
        </w:rPr>
        <w:t>declaration</w:t>
      </w:r>
      <w:r w:rsidR="59E3D231" w:rsidRPr="009E4373">
        <w:rPr>
          <w:color w:val="auto"/>
        </w:rPr>
        <w:t xml:space="preserve"> </w:t>
      </w:r>
      <w:r w:rsidRPr="009E4373">
        <w:rPr>
          <w:color w:val="auto"/>
        </w:rPr>
        <w:t xml:space="preserve">suggests complex or enduring personal, medical, or mental health issues, the University may initiate an </w:t>
      </w:r>
      <w:proofErr w:type="spellStart"/>
      <w:r w:rsidRPr="009E4373">
        <w:rPr>
          <w:color w:val="auto"/>
        </w:rPr>
        <w:t>S</w:t>
      </w:r>
      <w:r w:rsidR="000049B1" w:rsidRPr="009E4373">
        <w:rPr>
          <w:color w:val="auto"/>
        </w:rPr>
        <w:t>t</w:t>
      </w:r>
      <w:r w:rsidRPr="009E4373">
        <w:rPr>
          <w:color w:val="auto"/>
        </w:rPr>
        <w:t>S</w:t>
      </w:r>
      <w:proofErr w:type="spellEnd"/>
      <w:r w:rsidRPr="009E4373">
        <w:rPr>
          <w:color w:val="auto"/>
        </w:rPr>
        <w:t xml:space="preserve"> discussion. This is not a disciplinary or punitive process</w:t>
      </w:r>
      <w:r w:rsidR="38B3469D" w:rsidRPr="009E4373">
        <w:rPr>
          <w:color w:val="auto"/>
        </w:rPr>
        <w:t xml:space="preserve">, </w:t>
      </w:r>
      <w:r w:rsidR="5613117E" w:rsidRPr="009E4373">
        <w:rPr>
          <w:color w:val="auto"/>
        </w:rPr>
        <w:t>i</w:t>
      </w:r>
      <w:r w:rsidR="5D222937" w:rsidRPr="009E4373">
        <w:rPr>
          <w:color w:val="auto"/>
        </w:rPr>
        <w:t>t</w:t>
      </w:r>
      <w:r w:rsidRPr="009E4373">
        <w:rPr>
          <w:color w:val="auto"/>
        </w:rPr>
        <w:t xml:space="preserve"> is a supportive, collaborative approach designed to explore whether a student would benefit from additional adjustment</w:t>
      </w:r>
      <w:r w:rsidR="29974415" w:rsidRPr="009E4373">
        <w:rPr>
          <w:color w:val="auto"/>
        </w:rPr>
        <w:t>s</w:t>
      </w:r>
      <w:r w:rsidR="1FF1C691" w:rsidRPr="009E4373">
        <w:rPr>
          <w:color w:val="auto"/>
        </w:rPr>
        <w:t xml:space="preserve"> such adjusting assessment submission dates or assessment deferral</w:t>
      </w:r>
      <w:r w:rsidRPr="009E4373">
        <w:rPr>
          <w:color w:val="auto"/>
        </w:rPr>
        <w:t>, wellbeing support, academic planning, or a temporary break in studies.</w:t>
      </w:r>
      <w:r w:rsidR="681EE2C7" w:rsidRPr="009E4373">
        <w:rPr>
          <w:color w:val="auto"/>
        </w:rPr>
        <w:t xml:space="preserve"> </w:t>
      </w:r>
    </w:p>
    <w:p w14:paraId="2EF89896" w14:textId="77311CA3" w:rsidR="24E8DD33" w:rsidRPr="009E4373" w:rsidRDefault="24E8DD33" w:rsidP="00935A1B">
      <w:pPr>
        <w:pStyle w:val="Heading2"/>
        <w:rPr>
          <w:b/>
          <w:bCs/>
          <w:color w:val="auto"/>
        </w:rPr>
      </w:pPr>
      <w:r w:rsidRPr="009E4373">
        <w:rPr>
          <w:b/>
          <w:bCs/>
          <w:color w:val="auto"/>
        </w:rPr>
        <w:t>Fitness to Practise</w:t>
      </w:r>
    </w:p>
    <w:p w14:paraId="14F343E3" w14:textId="4A3A6EBC" w:rsidR="00062E7D" w:rsidRDefault="2EB2BBF2" w:rsidP="000B51B6">
      <w:pPr>
        <w:pStyle w:val="Heading3"/>
        <w:rPr>
          <w:rFonts w:eastAsiaTheme="minorEastAsia" w:cstheme="minorBidi"/>
          <w:color w:val="0000FF"/>
          <w:u w:val="single"/>
        </w:rPr>
      </w:pPr>
      <w:r w:rsidRPr="009E4373">
        <w:rPr>
          <w:color w:val="auto"/>
        </w:rPr>
        <w:t xml:space="preserve">For students on a </w:t>
      </w:r>
      <w:r w:rsidR="00F5077D" w:rsidRPr="009E4373">
        <w:rPr>
          <w:color w:val="auto"/>
        </w:rPr>
        <w:t>programme</w:t>
      </w:r>
      <w:r w:rsidRPr="009E4373">
        <w:rPr>
          <w:color w:val="auto"/>
        </w:rPr>
        <w:t xml:space="preserve"> that </w:t>
      </w:r>
      <w:r w:rsidR="351964F0" w:rsidRPr="009E4373">
        <w:rPr>
          <w:color w:val="auto"/>
        </w:rPr>
        <w:t xml:space="preserve">requires or </w:t>
      </w:r>
      <w:r w:rsidRPr="009E4373">
        <w:rPr>
          <w:color w:val="auto"/>
        </w:rPr>
        <w:t xml:space="preserve">leads to registration with a professional body, </w:t>
      </w:r>
      <w:r w:rsidR="009E4373">
        <w:rPr>
          <w:color w:val="auto"/>
        </w:rPr>
        <w:t>the University</w:t>
      </w:r>
      <w:r w:rsidRPr="009E4373">
        <w:rPr>
          <w:color w:val="auto"/>
        </w:rPr>
        <w:t xml:space="preserve"> may use the Support to Study Procedure</w:t>
      </w:r>
      <w:r w:rsidR="7EA10BD2" w:rsidRPr="009E4373">
        <w:rPr>
          <w:color w:val="auto"/>
        </w:rPr>
        <w:t>,</w:t>
      </w:r>
      <w:r w:rsidRPr="009E4373">
        <w:rPr>
          <w:color w:val="auto"/>
        </w:rPr>
        <w:t xml:space="preserve"> if there</w:t>
      </w:r>
      <w:r w:rsidR="7EA15BD2" w:rsidRPr="009E4373">
        <w:rPr>
          <w:color w:val="auto"/>
        </w:rPr>
        <w:t xml:space="preserve"> is </w:t>
      </w:r>
      <w:r w:rsidRPr="009E4373">
        <w:rPr>
          <w:color w:val="auto"/>
        </w:rPr>
        <w:t>a concern or support need that is not directly related to professional practice. However, in some cases</w:t>
      </w:r>
      <w:r w:rsidR="52B57882" w:rsidRPr="009E4373">
        <w:rPr>
          <w:color w:val="auto"/>
        </w:rPr>
        <w:t xml:space="preserve"> where serious concerns persist </w:t>
      </w:r>
      <w:r w:rsidR="06541677" w:rsidRPr="009E4373">
        <w:rPr>
          <w:color w:val="auto"/>
        </w:rPr>
        <w:t>about</w:t>
      </w:r>
      <w:r w:rsidR="52B57882" w:rsidRPr="009E4373">
        <w:rPr>
          <w:color w:val="auto"/>
        </w:rPr>
        <w:t xml:space="preserve"> a student’s ability </w:t>
      </w:r>
      <w:r w:rsidR="7C08C9A4" w:rsidRPr="009E4373">
        <w:rPr>
          <w:color w:val="auto"/>
        </w:rPr>
        <w:t xml:space="preserve">to </w:t>
      </w:r>
      <w:r w:rsidR="52B57882" w:rsidRPr="009E4373">
        <w:rPr>
          <w:color w:val="auto"/>
        </w:rPr>
        <w:t>practi</w:t>
      </w:r>
      <w:r w:rsidR="1DFFA2D7" w:rsidRPr="009E4373">
        <w:rPr>
          <w:color w:val="auto"/>
        </w:rPr>
        <w:t>s</w:t>
      </w:r>
      <w:r w:rsidR="52B57882" w:rsidRPr="009E4373">
        <w:rPr>
          <w:color w:val="auto"/>
        </w:rPr>
        <w:t>e safely and meet professional practice requirements</w:t>
      </w:r>
      <w:r w:rsidRPr="009E4373">
        <w:rPr>
          <w:color w:val="auto"/>
        </w:rPr>
        <w:t xml:space="preserve">, it might be more appropriate to consider the situation under  </w:t>
      </w:r>
      <w:r w:rsidR="723D87A9" w:rsidRPr="009E4373">
        <w:rPr>
          <w:color w:val="auto"/>
        </w:rPr>
        <w:t>the</w:t>
      </w:r>
      <w:r w:rsidRPr="009E4373">
        <w:rPr>
          <w:color w:val="auto"/>
        </w:rPr>
        <w:t xml:space="preserve"> </w:t>
      </w:r>
      <w:hyperlink r:id="rId12">
        <w:r w:rsidR="12AA87B3" w:rsidRPr="7AF42ACD">
          <w:rPr>
            <w:rFonts w:eastAsiaTheme="minorEastAsia" w:cstheme="minorBidi"/>
            <w:color w:val="0000FF"/>
            <w:u w:val="single"/>
          </w:rPr>
          <w:t>Student Fitness to Practise Procedure</w:t>
        </w:r>
      </w:hyperlink>
      <w:r w:rsidR="00D52783">
        <w:t>.</w:t>
      </w:r>
    </w:p>
    <w:p w14:paraId="1E82EE36" w14:textId="23236065" w:rsidR="00A338EC" w:rsidRPr="009E4373" w:rsidRDefault="00A338EC" w:rsidP="00AD6592">
      <w:pPr>
        <w:pStyle w:val="Heading2"/>
        <w:rPr>
          <w:b/>
          <w:bCs/>
          <w:color w:val="auto"/>
        </w:rPr>
      </w:pPr>
      <w:r w:rsidRPr="009E4373">
        <w:rPr>
          <w:b/>
          <w:bCs/>
          <w:color w:val="auto"/>
        </w:rPr>
        <w:t>Students detained under the Mental Health Act</w:t>
      </w:r>
    </w:p>
    <w:p w14:paraId="489CDB5A" w14:textId="77777777" w:rsidR="00F5077D" w:rsidRPr="009E4373" w:rsidRDefault="3BAB9B01" w:rsidP="000B51B6">
      <w:pPr>
        <w:pStyle w:val="Heading3"/>
        <w:rPr>
          <w:color w:val="auto"/>
        </w:rPr>
      </w:pPr>
      <w:r w:rsidRPr="009E4373">
        <w:rPr>
          <w:color w:val="auto"/>
        </w:rPr>
        <w:t>Where the University is made aware that a student has been detained under the Mental Health Act, whether by a relative, friend, or health professional (e.g. NHS), this information must be escalated to the</w:t>
      </w:r>
      <w:r w:rsidR="7B89A076" w:rsidRPr="009E4373">
        <w:rPr>
          <w:color w:val="auto"/>
        </w:rPr>
        <w:t xml:space="preserve"> Dean/Deputy of the relevant school</w:t>
      </w:r>
      <w:r w:rsidRPr="009E4373">
        <w:rPr>
          <w:color w:val="auto"/>
        </w:rPr>
        <w:t xml:space="preserve"> and the </w:t>
      </w:r>
      <w:r w:rsidR="00D52783" w:rsidRPr="009E4373">
        <w:rPr>
          <w:color w:val="auto"/>
        </w:rPr>
        <w:t>U</w:t>
      </w:r>
      <w:r w:rsidRPr="009E4373">
        <w:rPr>
          <w:color w:val="auto"/>
        </w:rPr>
        <w:t>niversity’s Wellbeing Services.</w:t>
      </w:r>
    </w:p>
    <w:p w14:paraId="5328D01B" w14:textId="77777777" w:rsidR="00473C92" w:rsidRPr="009E4373" w:rsidRDefault="00473C92" w:rsidP="008F74C3">
      <w:pPr>
        <w:pStyle w:val="Heading3"/>
        <w:numPr>
          <w:ilvl w:val="0"/>
          <w:numId w:val="0"/>
        </w:numPr>
        <w:rPr>
          <w:color w:val="auto"/>
        </w:rPr>
      </w:pPr>
    </w:p>
    <w:p w14:paraId="1FE75C8A" w14:textId="140556A8" w:rsidR="0786C242" w:rsidRPr="009E4373" w:rsidRDefault="2B94EE40" w:rsidP="000B51B6">
      <w:pPr>
        <w:pStyle w:val="Heading3"/>
        <w:rPr>
          <w:color w:val="auto"/>
        </w:rPr>
      </w:pPr>
      <w:r w:rsidRPr="009E4373">
        <w:rPr>
          <w:color w:val="auto"/>
        </w:rPr>
        <w:t>A</w:t>
      </w:r>
      <w:r w:rsidR="25A8DC2B" w:rsidRPr="009E4373">
        <w:rPr>
          <w:color w:val="auto"/>
        </w:rPr>
        <w:t xml:space="preserve"> risk based, proportionate</w:t>
      </w:r>
      <w:r w:rsidR="3BAB9B01" w:rsidRPr="009E4373">
        <w:rPr>
          <w:color w:val="auto"/>
        </w:rPr>
        <w:t xml:space="preserve"> multi-disciplinary case discussion </w:t>
      </w:r>
      <w:r w:rsidR="204AE64B" w:rsidRPr="009E4373">
        <w:rPr>
          <w:color w:val="auto"/>
        </w:rPr>
        <w:t>will be</w:t>
      </w:r>
      <w:r w:rsidR="3BAB9B01" w:rsidRPr="009E4373">
        <w:rPr>
          <w:color w:val="auto"/>
        </w:rPr>
        <w:t xml:space="preserve"> convened, involving relevant academic and support staff</w:t>
      </w:r>
      <w:r w:rsidR="699AC932" w:rsidRPr="009E4373">
        <w:rPr>
          <w:color w:val="auto"/>
        </w:rPr>
        <w:t>.</w:t>
      </w:r>
      <w:r w:rsidR="3DB3A2AA" w:rsidRPr="009E4373">
        <w:rPr>
          <w:color w:val="auto"/>
        </w:rPr>
        <w:t xml:space="preserve"> This may also include NHS input, if available.</w:t>
      </w:r>
      <w:r w:rsidR="3BAB9B01" w:rsidRPr="009E4373">
        <w:rPr>
          <w:color w:val="auto"/>
        </w:rPr>
        <w:t xml:space="preserve"> The purpose of this discussion is to </w:t>
      </w:r>
      <w:r w:rsidR="3BAB9B01" w:rsidRPr="009E4373">
        <w:rPr>
          <w:color w:val="auto"/>
        </w:rPr>
        <w:lastRenderedPageBreak/>
        <w:t>determine</w:t>
      </w:r>
      <w:r w:rsidR="2B27AC27" w:rsidRPr="009E4373">
        <w:rPr>
          <w:color w:val="auto"/>
        </w:rPr>
        <w:t xml:space="preserve"> the student’s fitness to study at that time</w:t>
      </w:r>
      <w:r w:rsidR="31EBDD58" w:rsidRPr="009E4373">
        <w:rPr>
          <w:color w:val="auto"/>
        </w:rPr>
        <w:t>. If the student is deemed well enough to study</w:t>
      </w:r>
      <w:r w:rsidR="00D52783" w:rsidRPr="009E4373">
        <w:rPr>
          <w:color w:val="auto"/>
        </w:rPr>
        <w:t>,</w:t>
      </w:r>
      <w:r w:rsidR="00D947D6" w:rsidRPr="009E4373">
        <w:rPr>
          <w:color w:val="auto"/>
        </w:rPr>
        <w:t xml:space="preserve"> the student should enter the </w:t>
      </w:r>
      <w:proofErr w:type="spellStart"/>
      <w:r w:rsidR="00D947D6" w:rsidRPr="009E4373">
        <w:rPr>
          <w:color w:val="auto"/>
        </w:rPr>
        <w:t>S</w:t>
      </w:r>
      <w:r w:rsidR="00F5077D" w:rsidRPr="009E4373">
        <w:rPr>
          <w:color w:val="auto"/>
        </w:rPr>
        <w:t>t</w:t>
      </w:r>
      <w:r w:rsidR="00D947D6" w:rsidRPr="009E4373">
        <w:rPr>
          <w:color w:val="auto"/>
        </w:rPr>
        <w:t>S</w:t>
      </w:r>
      <w:proofErr w:type="spellEnd"/>
      <w:r w:rsidR="00D947D6" w:rsidRPr="009E4373">
        <w:rPr>
          <w:color w:val="auto"/>
        </w:rPr>
        <w:t xml:space="preserve"> process at Stage 1. </w:t>
      </w:r>
      <w:r w:rsidR="365C17EB" w:rsidRPr="009E4373">
        <w:rPr>
          <w:color w:val="auto"/>
        </w:rPr>
        <w:t xml:space="preserve"> </w:t>
      </w:r>
    </w:p>
    <w:p w14:paraId="771B5651" w14:textId="2B2525A4" w:rsidR="00062E7D" w:rsidRPr="009E4373" w:rsidRDefault="00062E7D" w:rsidP="00AD6592">
      <w:pPr>
        <w:pStyle w:val="Heading2"/>
        <w:rPr>
          <w:b/>
          <w:bCs/>
          <w:color w:val="auto"/>
        </w:rPr>
      </w:pPr>
      <w:r w:rsidRPr="009E4373">
        <w:rPr>
          <w:b/>
          <w:bCs/>
          <w:color w:val="auto"/>
        </w:rPr>
        <w:t>Emergencies</w:t>
      </w:r>
    </w:p>
    <w:p w14:paraId="029B9E6E" w14:textId="10B2A1DA" w:rsidR="1EFC028E" w:rsidRDefault="3FBC8336" w:rsidP="000B51B6">
      <w:pPr>
        <w:pStyle w:val="Heading3"/>
      </w:pPr>
      <w:r w:rsidRPr="009E4373">
        <w:rPr>
          <w:color w:val="auto"/>
        </w:rPr>
        <w:t>Emergency situations sit outside of this policy.</w:t>
      </w:r>
      <w:r w:rsidR="58F4B27C" w:rsidRPr="009E4373">
        <w:rPr>
          <w:color w:val="auto"/>
        </w:rPr>
        <w:t xml:space="preserve"> If a student’s behaviour poses immediate risk to themself or </w:t>
      </w:r>
      <w:r w:rsidR="00765264" w:rsidRPr="009E4373">
        <w:rPr>
          <w:color w:val="auto"/>
        </w:rPr>
        <w:t>others,</w:t>
      </w:r>
      <w:r w:rsidR="58F4B27C" w:rsidRPr="009E4373">
        <w:rPr>
          <w:color w:val="auto"/>
        </w:rPr>
        <w:t xml:space="preserve"> </w:t>
      </w:r>
      <w:r w:rsidR="009E4373">
        <w:rPr>
          <w:color w:val="auto"/>
        </w:rPr>
        <w:t>staff should</w:t>
      </w:r>
      <w:r w:rsidR="58F4B27C" w:rsidRPr="009E4373">
        <w:rPr>
          <w:color w:val="auto"/>
        </w:rPr>
        <w:t xml:space="preserve"> dial 999. If there is an urgent situation involving a </w:t>
      </w:r>
      <w:r w:rsidR="00765264" w:rsidRPr="009E4373">
        <w:rPr>
          <w:color w:val="auto"/>
        </w:rPr>
        <w:t>student,</w:t>
      </w:r>
      <w:r w:rsidR="58F4B27C" w:rsidRPr="009E4373">
        <w:rPr>
          <w:color w:val="auto"/>
        </w:rPr>
        <w:t xml:space="preserve"> </w:t>
      </w:r>
      <w:r w:rsidR="009E4373">
        <w:rPr>
          <w:color w:val="auto"/>
        </w:rPr>
        <w:t>staff should</w:t>
      </w:r>
      <w:r w:rsidR="58F4B27C" w:rsidRPr="009E4373">
        <w:rPr>
          <w:color w:val="auto"/>
        </w:rPr>
        <w:t xml:space="preserve"> </w:t>
      </w:r>
      <w:r w:rsidR="009E4373">
        <w:rPr>
          <w:color w:val="auto"/>
        </w:rPr>
        <w:t>use</w:t>
      </w:r>
      <w:r w:rsidR="58F4B27C" w:rsidRPr="009E4373">
        <w:rPr>
          <w:color w:val="auto"/>
        </w:rPr>
        <w:t xml:space="preserve"> the </w:t>
      </w:r>
      <w:r w:rsidR="00D52783" w:rsidRPr="009E4373">
        <w:rPr>
          <w:color w:val="auto"/>
        </w:rPr>
        <w:t>U</w:t>
      </w:r>
      <w:r w:rsidR="58F4B27C" w:rsidRPr="009E4373">
        <w:rPr>
          <w:color w:val="auto"/>
        </w:rPr>
        <w:t>niversity</w:t>
      </w:r>
      <w:r w:rsidR="4C2E6E44" w:rsidRPr="009E4373">
        <w:rPr>
          <w:color w:val="auto"/>
        </w:rPr>
        <w:t>’s</w:t>
      </w:r>
      <w:r w:rsidR="2528DFB8" w:rsidRPr="009E4373">
        <w:rPr>
          <w:color w:val="auto"/>
        </w:rPr>
        <w:t xml:space="preserve"> </w:t>
      </w:r>
      <w:hyperlink r:id="rId13" w:history="1">
        <w:r w:rsidR="2528DFB8" w:rsidRPr="17392358">
          <w:rPr>
            <w:rStyle w:val="Hyperlink"/>
          </w:rPr>
          <w:t>Cause for Concern</w:t>
        </w:r>
      </w:hyperlink>
      <w:r w:rsidR="50AB0483">
        <w:t xml:space="preserve"> </w:t>
      </w:r>
      <w:r w:rsidR="50AB0483" w:rsidRPr="009E4373">
        <w:rPr>
          <w:color w:val="auto"/>
        </w:rPr>
        <w:t>process</w:t>
      </w:r>
      <w:r w:rsidR="2528DFB8" w:rsidRPr="009E4373">
        <w:rPr>
          <w:color w:val="auto"/>
        </w:rPr>
        <w:t>.</w:t>
      </w:r>
    </w:p>
    <w:p w14:paraId="5827B853" w14:textId="77777777" w:rsidR="00ED26E0" w:rsidRDefault="00ED26E0" w:rsidP="00894580">
      <w:pPr>
        <w:pStyle w:val="Heading2"/>
        <w:numPr>
          <w:ilvl w:val="0"/>
          <w:numId w:val="0"/>
        </w:numPr>
        <w:rPr>
          <w:color w:val="auto"/>
        </w:rPr>
      </w:pPr>
    </w:p>
    <w:p w14:paraId="7A7E1251" w14:textId="0208CE37" w:rsidR="005A191A" w:rsidRDefault="005A191A" w:rsidP="00B838D2">
      <w:pPr>
        <w:pStyle w:val="Title"/>
      </w:pPr>
      <w:r>
        <w:t>Support to Study Procedure</w:t>
      </w:r>
    </w:p>
    <w:p w14:paraId="67C8B9C4" w14:textId="77777777" w:rsidR="00B838D2" w:rsidRPr="00BD0B94" w:rsidRDefault="00B838D2" w:rsidP="00187AD2">
      <w:pPr>
        <w:rPr>
          <w:color w:val="auto"/>
        </w:rPr>
      </w:pPr>
    </w:p>
    <w:p w14:paraId="0582F099" w14:textId="66B44116" w:rsidR="00B838D2" w:rsidRPr="00BD0B94" w:rsidRDefault="00187AD2" w:rsidP="00187AD2">
      <w:pPr>
        <w:rPr>
          <w:color w:val="auto"/>
        </w:rPr>
      </w:pPr>
      <w:r w:rsidRPr="00BD0B94">
        <w:rPr>
          <w:color w:val="auto"/>
        </w:rPr>
        <w:t xml:space="preserve">The procedure is split into three stages, with escalating levels of support at each stage including key stakeholders brought in at each level.  A student is inducted into Stage 1 via two routes: monitoring of their </w:t>
      </w:r>
      <w:proofErr w:type="spellStart"/>
      <w:r w:rsidRPr="00BD0B94">
        <w:rPr>
          <w:color w:val="auto"/>
        </w:rPr>
        <w:t>Met</w:t>
      </w:r>
      <w:r w:rsidR="008A5EE6">
        <w:rPr>
          <w:color w:val="auto"/>
        </w:rPr>
        <w:t>S</w:t>
      </w:r>
      <w:r w:rsidRPr="00BD0B94">
        <w:rPr>
          <w:color w:val="auto"/>
        </w:rPr>
        <w:t>tats</w:t>
      </w:r>
      <w:proofErr w:type="spellEnd"/>
      <w:r w:rsidRPr="00BD0B94">
        <w:rPr>
          <w:color w:val="auto"/>
        </w:rPr>
        <w:t xml:space="preserve"> engagement or via use of permits through the Mitigating Circumstances procedure.</w:t>
      </w:r>
    </w:p>
    <w:p w14:paraId="42797FE1" w14:textId="77777777" w:rsidR="00187AD2" w:rsidRPr="00BD0B94" w:rsidRDefault="00187AD2" w:rsidP="003400F0">
      <w:pPr>
        <w:pStyle w:val="Heading1"/>
      </w:pPr>
      <w:r w:rsidRPr="003400F0">
        <w:t>Stage</w:t>
      </w:r>
      <w:r w:rsidRPr="00BD0B94">
        <w:t xml:space="preserve"> 1</w:t>
      </w:r>
    </w:p>
    <w:p w14:paraId="4A2BA8F7" w14:textId="2A9CA23D" w:rsidR="00187AD2" w:rsidRPr="00592F10" w:rsidRDefault="00187AD2" w:rsidP="003400F0">
      <w:pPr>
        <w:pStyle w:val="Heading2"/>
        <w:rPr>
          <w:color w:val="000000" w:themeColor="text1"/>
        </w:rPr>
      </w:pPr>
      <w:r w:rsidRPr="00592F10">
        <w:rPr>
          <w:color w:val="000000" w:themeColor="text1"/>
        </w:rPr>
        <w:t xml:space="preserve">Support to Study </w:t>
      </w:r>
      <w:r w:rsidR="006D6744" w:rsidRPr="00592F10">
        <w:rPr>
          <w:color w:val="000000" w:themeColor="text1"/>
        </w:rPr>
        <w:t>S</w:t>
      </w:r>
      <w:r w:rsidRPr="00592F10">
        <w:rPr>
          <w:color w:val="000000" w:themeColor="text1"/>
        </w:rPr>
        <w:t xml:space="preserve">tage 1 will focus primarily on a student’s </w:t>
      </w:r>
      <w:proofErr w:type="spellStart"/>
      <w:r w:rsidRPr="008A5EE6">
        <w:rPr>
          <w:color w:val="000000" w:themeColor="text1"/>
        </w:rPr>
        <w:t>Met</w:t>
      </w:r>
      <w:r w:rsidR="008A5EE6">
        <w:rPr>
          <w:color w:val="000000" w:themeColor="text1"/>
        </w:rPr>
        <w:t>S</w:t>
      </w:r>
      <w:r w:rsidRPr="008A5EE6">
        <w:rPr>
          <w:color w:val="000000" w:themeColor="text1"/>
        </w:rPr>
        <w:t>tats</w:t>
      </w:r>
      <w:proofErr w:type="spellEnd"/>
      <w:r w:rsidRPr="00592F10">
        <w:rPr>
          <w:color w:val="000000" w:themeColor="text1"/>
        </w:rPr>
        <w:t xml:space="preserve"> engagement. They will be supported by advisers from the Student Retention Team, and intervention will focus on signposting and referring to relevant services. </w:t>
      </w:r>
    </w:p>
    <w:p w14:paraId="07FDD77D" w14:textId="2742E400" w:rsidR="00187AD2" w:rsidRPr="00592F10" w:rsidRDefault="00187AD2" w:rsidP="00ED26E0">
      <w:pPr>
        <w:pStyle w:val="Heading2"/>
        <w:rPr>
          <w:color w:val="000000" w:themeColor="text1"/>
        </w:rPr>
      </w:pPr>
      <w:r w:rsidRPr="00592F10">
        <w:rPr>
          <w:color w:val="000000" w:themeColor="text1"/>
        </w:rPr>
        <w:t xml:space="preserve">Students will be inducted into Stage 1 if their </w:t>
      </w:r>
      <w:proofErr w:type="spellStart"/>
      <w:r w:rsidRPr="008A5EE6">
        <w:rPr>
          <w:color w:val="000000" w:themeColor="text1"/>
        </w:rPr>
        <w:t>Met</w:t>
      </w:r>
      <w:r w:rsidR="008A5EE6">
        <w:rPr>
          <w:color w:val="000000" w:themeColor="text1"/>
        </w:rPr>
        <w:t>S</w:t>
      </w:r>
      <w:r w:rsidRPr="008A5EE6">
        <w:rPr>
          <w:color w:val="000000" w:themeColor="text1"/>
        </w:rPr>
        <w:t>tats</w:t>
      </w:r>
      <w:proofErr w:type="spellEnd"/>
      <w:r w:rsidRPr="00592F10">
        <w:rPr>
          <w:color w:val="000000" w:themeColor="text1"/>
        </w:rPr>
        <w:t xml:space="preserve"> engagement score is recorded as “None” or “Very Low” for two weeks, or if they have used up </w:t>
      </w:r>
      <w:proofErr w:type="gramStart"/>
      <w:r w:rsidRPr="00592F10">
        <w:rPr>
          <w:color w:val="000000" w:themeColor="text1"/>
        </w:rPr>
        <w:t>all of</w:t>
      </w:r>
      <w:proofErr w:type="gramEnd"/>
      <w:r w:rsidRPr="00592F10">
        <w:rPr>
          <w:color w:val="000000" w:themeColor="text1"/>
        </w:rPr>
        <w:t xml:space="preserve"> their late submission permits as per the mitigating circumstances procedure. Referrals to </w:t>
      </w:r>
      <w:r w:rsidR="001C1C37">
        <w:rPr>
          <w:color w:val="000000" w:themeColor="text1"/>
        </w:rPr>
        <w:t>S</w:t>
      </w:r>
      <w:r w:rsidRPr="00592F10">
        <w:rPr>
          <w:color w:val="000000" w:themeColor="text1"/>
        </w:rPr>
        <w:t xml:space="preserve">tage 1 will commence in Week 3 of autumn term. Subsequently, </w:t>
      </w:r>
      <w:proofErr w:type="spellStart"/>
      <w:r w:rsidRPr="00592F10">
        <w:rPr>
          <w:color w:val="000000" w:themeColor="text1"/>
        </w:rPr>
        <w:t>MetStats</w:t>
      </w:r>
      <w:proofErr w:type="spellEnd"/>
      <w:r w:rsidRPr="00592F10">
        <w:rPr>
          <w:color w:val="000000" w:themeColor="text1"/>
        </w:rPr>
        <w:t xml:space="preserve"> engagement data will be reviewed on a weekly basis and any students categorised as “None” or “Very Low” will be contacted by the Student Retention Team who will reach out to the student three times.</w:t>
      </w:r>
    </w:p>
    <w:p w14:paraId="34E2D310" w14:textId="46040E33" w:rsidR="00187AD2" w:rsidRPr="009D3337" w:rsidRDefault="00187AD2" w:rsidP="009D3337">
      <w:pPr>
        <w:pStyle w:val="Heading2"/>
        <w:rPr>
          <w:color w:val="000000" w:themeColor="text1"/>
        </w:rPr>
      </w:pPr>
      <w:r w:rsidRPr="009D3337">
        <w:rPr>
          <w:color w:val="000000" w:themeColor="text1"/>
        </w:rPr>
        <w:t xml:space="preserve">Once contacted, the student will be invited to an initial appointment wherein they will complete a Stage 1 action plan, focusing on their </w:t>
      </w:r>
      <w:proofErr w:type="spellStart"/>
      <w:r w:rsidRPr="008A5EE6">
        <w:rPr>
          <w:color w:val="000000" w:themeColor="text1"/>
        </w:rPr>
        <w:t>Met</w:t>
      </w:r>
      <w:r w:rsidR="008A5EE6" w:rsidRPr="008A5EE6">
        <w:rPr>
          <w:color w:val="000000" w:themeColor="text1"/>
        </w:rPr>
        <w:t>S</w:t>
      </w:r>
      <w:r w:rsidRPr="008A5EE6">
        <w:rPr>
          <w:color w:val="000000" w:themeColor="text1"/>
        </w:rPr>
        <w:t>tats</w:t>
      </w:r>
      <w:proofErr w:type="spellEnd"/>
      <w:r w:rsidRPr="009D3337">
        <w:rPr>
          <w:color w:val="000000" w:themeColor="text1"/>
        </w:rPr>
        <w:t xml:space="preserve"> engagement. Improvement will be measured by</w:t>
      </w:r>
      <w:r w:rsidR="009D3337" w:rsidRPr="009D3337">
        <w:rPr>
          <w:color w:val="000000" w:themeColor="text1"/>
        </w:rPr>
        <w:t xml:space="preserve"> s</w:t>
      </w:r>
      <w:r w:rsidRPr="009D3337">
        <w:rPr>
          <w:color w:val="000000" w:themeColor="text1"/>
        </w:rPr>
        <w:t xml:space="preserve">etting a </w:t>
      </w:r>
      <w:proofErr w:type="spellStart"/>
      <w:r w:rsidRPr="008A5EE6">
        <w:rPr>
          <w:color w:val="000000" w:themeColor="text1"/>
        </w:rPr>
        <w:t>Met</w:t>
      </w:r>
      <w:r w:rsidR="008A5EE6" w:rsidRPr="008A5EE6">
        <w:rPr>
          <w:color w:val="000000" w:themeColor="text1"/>
        </w:rPr>
        <w:t>S</w:t>
      </w:r>
      <w:r w:rsidRPr="008A5EE6">
        <w:rPr>
          <w:color w:val="000000" w:themeColor="text1"/>
        </w:rPr>
        <w:t>tats</w:t>
      </w:r>
      <w:proofErr w:type="spellEnd"/>
      <w:r w:rsidRPr="009D3337">
        <w:rPr>
          <w:color w:val="000000" w:themeColor="text1"/>
        </w:rPr>
        <w:t xml:space="preserve"> engagement target to reach by the end of the </w:t>
      </w:r>
      <w:proofErr w:type="gramStart"/>
      <w:r w:rsidR="005C190B" w:rsidRPr="009D3337">
        <w:rPr>
          <w:color w:val="000000" w:themeColor="text1"/>
        </w:rPr>
        <w:t xml:space="preserve">four </w:t>
      </w:r>
      <w:r w:rsidRPr="009D3337">
        <w:rPr>
          <w:color w:val="000000" w:themeColor="text1"/>
        </w:rPr>
        <w:t>week</w:t>
      </w:r>
      <w:proofErr w:type="gramEnd"/>
      <w:r w:rsidRPr="009D3337">
        <w:rPr>
          <w:color w:val="000000" w:themeColor="text1"/>
        </w:rPr>
        <w:t xml:space="preserve"> </w:t>
      </w:r>
      <w:r w:rsidR="005C190B" w:rsidRPr="009D3337">
        <w:rPr>
          <w:color w:val="000000" w:themeColor="text1"/>
        </w:rPr>
        <w:t>S</w:t>
      </w:r>
      <w:r w:rsidRPr="009D3337">
        <w:rPr>
          <w:color w:val="000000" w:themeColor="text1"/>
        </w:rPr>
        <w:t>tage 1 intervention</w:t>
      </w:r>
      <w:r w:rsidR="009D3337" w:rsidRPr="009D3337">
        <w:rPr>
          <w:color w:val="000000" w:themeColor="text1"/>
        </w:rPr>
        <w:t>.</w:t>
      </w:r>
    </w:p>
    <w:p w14:paraId="7CC7E154" w14:textId="77777777" w:rsidR="00187AD2" w:rsidRPr="00592F10" w:rsidRDefault="00187AD2" w:rsidP="00ED26E0">
      <w:pPr>
        <w:pStyle w:val="Heading2"/>
        <w:rPr>
          <w:color w:val="000000" w:themeColor="text1"/>
        </w:rPr>
      </w:pPr>
      <w:r w:rsidRPr="00592F10">
        <w:rPr>
          <w:color w:val="000000" w:themeColor="text1"/>
        </w:rPr>
        <w:t xml:space="preserve"> Support pathways from this appointment might include:</w:t>
      </w:r>
    </w:p>
    <w:p w14:paraId="1B1C4F86" w14:textId="77777777" w:rsidR="00187AD2" w:rsidRPr="00592F10" w:rsidRDefault="00187AD2" w:rsidP="00FF1826">
      <w:pPr>
        <w:pStyle w:val="ListParagraph"/>
        <w:numPr>
          <w:ilvl w:val="0"/>
          <w:numId w:val="5"/>
        </w:numPr>
        <w:spacing w:line="278" w:lineRule="auto"/>
        <w:rPr>
          <w:rFonts w:eastAsiaTheme="minorEastAsia"/>
          <w:color w:val="000000" w:themeColor="text1"/>
        </w:rPr>
      </w:pPr>
      <w:r w:rsidRPr="00592F10">
        <w:rPr>
          <w:rFonts w:eastAsiaTheme="minorEastAsia"/>
          <w:color w:val="000000" w:themeColor="text1"/>
        </w:rPr>
        <w:t>Facilitating a referral to appropriate support services e.g., Wellbeing Service, Academic Practice or Student Money Advice. A referral to the Wellbeing Service may delay the action plan until the student’s Health and Wellbeing concerns have been addressed.</w:t>
      </w:r>
    </w:p>
    <w:p w14:paraId="282392D6" w14:textId="77777777" w:rsidR="00187AD2" w:rsidRPr="00592F10" w:rsidRDefault="00187AD2" w:rsidP="00FF1826">
      <w:pPr>
        <w:pStyle w:val="ListParagraph"/>
        <w:numPr>
          <w:ilvl w:val="0"/>
          <w:numId w:val="5"/>
        </w:numPr>
        <w:spacing w:line="278" w:lineRule="auto"/>
        <w:rPr>
          <w:rFonts w:eastAsiaTheme="minorEastAsia"/>
          <w:color w:val="000000" w:themeColor="text1"/>
        </w:rPr>
      </w:pPr>
      <w:r w:rsidRPr="00592F10">
        <w:rPr>
          <w:rFonts w:eastAsiaTheme="minorEastAsia"/>
          <w:color w:val="000000" w:themeColor="text1"/>
        </w:rPr>
        <w:t xml:space="preserve">Advice and action on how to change their student status, e.g. a break in studies or transfer to part time studies where that is an available option.  </w:t>
      </w:r>
      <w:r w:rsidRPr="00DD4A31">
        <w:rPr>
          <w:rFonts w:eastAsiaTheme="minorEastAsia"/>
          <w:b/>
          <w:bCs/>
          <w:color w:val="000000" w:themeColor="text1"/>
        </w:rPr>
        <w:t xml:space="preserve">Students must be offered advice on how any change to their student </w:t>
      </w:r>
      <w:r w:rsidRPr="00DD4A31">
        <w:rPr>
          <w:rFonts w:eastAsiaTheme="minorEastAsia"/>
          <w:b/>
          <w:bCs/>
          <w:color w:val="000000" w:themeColor="text1"/>
        </w:rPr>
        <w:lastRenderedPageBreak/>
        <w:t>status will affect their finances, accommodation contracts or immigration status.</w:t>
      </w:r>
    </w:p>
    <w:p w14:paraId="77C4D655" w14:textId="77777777" w:rsidR="00187AD2" w:rsidRPr="00592F10" w:rsidRDefault="00187AD2" w:rsidP="00FF1826">
      <w:pPr>
        <w:pStyle w:val="ListParagraph"/>
        <w:numPr>
          <w:ilvl w:val="0"/>
          <w:numId w:val="5"/>
        </w:numPr>
        <w:spacing w:line="278" w:lineRule="auto"/>
        <w:rPr>
          <w:rFonts w:eastAsiaTheme="minorEastAsia"/>
          <w:color w:val="000000" w:themeColor="text1"/>
        </w:rPr>
      </w:pPr>
      <w:r w:rsidRPr="00592F10">
        <w:rPr>
          <w:rFonts w:eastAsiaTheme="minorEastAsia"/>
          <w:color w:val="000000" w:themeColor="text1"/>
        </w:rPr>
        <w:t>Agreement reached, with a review date. Review should be within a specific timeframe of no more than 4 weeks, excepting reasonable circumstances for example a wellbeing concern disclosed during a Support to Study appointment.</w:t>
      </w:r>
    </w:p>
    <w:p w14:paraId="555F7CBB" w14:textId="77777777" w:rsidR="00187AD2" w:rsidRPr="00592F10" w:rsidRDefault="00187AD2" w:rsidP="00850B35">
      <w:pPr>
        <w:pStyle w:val="Heading2"/>
        <w:rPr>
          <w:color w:val="000000" w:themeColor="text1"/>
        </w:rPr>
      </w:pPr>
      <w:r w:rsidRPr="00592F10">
        <w:rPr>
          <w:color w:val="000000" w:themeColor="text1"/>
        </w:rPr>
        <w:t>There are two outcomes at end of a completed Stage 1 action plan:</w:t>
      </w:r>
    </w:p>
    <w:p w14:paraId="4B40E388" w14:textId="4CDFC8FD" w:rsidR="00187AD2" w:rsidRPr="00592F10" w:rsidRDefault="00187AD2" w:rsidP="0023401E">
      <w:pPr>
        <w:pStyle w:val="Heading3"/>
        <w:rPr>
          <w:color w:val="000000" w:themeColor="text1"/>
        </w:rPr>
      </w:pPr>
      <w:r w:rsidRPr="00592F10">
        <w:rPr>
          <w:color w:val="000000" w:themeColor="text1"/>
        </w:rPr>
        <w:t xml:space="preserve">If the student meets the agreed improvement </w:t>
      </w:r>
      <w:proofErr w:type="spellStart"/>
      <w:r w:rsidRPr="00592F10">
        <w:rPr>
          <w:color w:val="000000" w:themeColor="text1"/>
        </w:rPr>
        <w:t>S</w:t>
      </w:r>
      <w:r w:rsidR="0023401E" w:rsidRPr="00592F10">
        <w:rPr>
          <w:color w:val="000000" w:themeColor="text1"/>
        </w:rPr>
        <w:t>t</w:t>
      </w:r>
      <w:r w:rsidRPr="00592F10">
        <w:rPr>
          <w:color w:val="000000" w:themeColor="text1"/>
        </w:rPr>
        <w:t>S</w:t>
      </w:r>
      <w:proofErr w:type="spellEnd"/>
      <w:r w:rsidRPr="00592F10">
        <w:rPr>
          <w:color w:val="000000" w:themeColor="text1"/>
        </w:rPr>
        <w:t xml:space="preserve"> procedure will be closed. The PAT will receive an automated confirmation that Stage 1 has been completed with no further action required.</w:t>
      </w:r>
    </w:p>
    <w:p w14:paraId="1365AAD5" w14:textId="239B9322" w:rsidR="00187AD2" w:rsidRPr="00592F10" w:rsidRDefault="00187AD2" w:rsidP="0023401E">
      <w:pPr>
        <w:pStyle w:val="Heading3"/>
        <w:rPr>
          <w:color w:val="000000" w:themeColor="text1"/>
        </w:rPr>
      </w:pPr>
      <w:r w:rsidRPr="00592F10">
        <w:rPr>
          <w:color w:val="000000" w:themeColor="text1"/>
        </w:rPr>
        <w:t xml:space="preserve">If following the review period, the student </w:t>
      </w:r>
      <w:r w:rsidRPr="00CB2623">
        <w:rPr>
          <w:color w:val="000000" w:themeColor="text1"/>
        </w:rPr>
        <w:t>does</w:t>
      </w:r>
      <w:r w:rsidRPr="00CB2623">
        <w:rPr>
          <w:b/>
          <w:bCs/>
          <w:color w:val="000000" w:themeColor="text1"/>
        </w:rPr>
        <w:t xml:space="preserve"> not</w:t>
      </w:r>
      <w:r w:rsidRPr="00592F10">
        <w:rPr>
          <w:color w:val="000000" w:themeColor="text1"/>
        </w:rPr>
        <w:t xml:space="preserve"> meet the agreed improvements, their case will be escalated to </w:t>
      </w:r>
      <w:r w:rsidR="0023401E" w:rsidRPr="00592F10">
        <w:rPr>
          <w:color w:val="000000" w:themeColor="text1"/>
        </w:rPr>
        <w:t>S</w:t>
      </w:r>
      <w:r w:rsidRPr="00592F10">
        <w:rPr>
          <w:color w:val="000000" w:themeColor="text1"/>
        </w:rPr>
        <w:t xml:space="preserve">tage 2 of the </w:t>
      </w:r>
      <w:proofErr w:type="spellStart"/>
      <w:r w:rsidRPr="00592F10">
        <w:rPr>
          <w:color w:val="000000" w:themeColor="text1"/>
        </w:rPr>
        <w:t>S</w:t>
      </w:r>
      <w:r w:rsidR="0023401E" w:rsidRPr="00592F10">
        <w:rPr>
          <w:color w:val="000000" w:themeColor="text1"/>
        </w:rPr>
        <w:t>t</w:t>
      </w:r>
      <w:r w:rsidRPr="00592F10">
        <w:rPr>
          <w:color w:val="000000" w:themeColor="text1"/>
        </w:rPr>
        <w:t>S</w:t>
      </w:r>
      <w:proofErr w:type="spellEnd"/>
      <w:r w:rsidR="00C757AA">
        <w:rPr>
          <w:color w:val="000000" w:themeColor="text1"/>
        </w:rPr>
        <w:t xml:space="preserve"> procedure</w:t>
      </w:r>
      <w:r w:rsidRPr="00592F10">
        <w:rPr>
          <w:color w:val="000000" w:themeColor="text1"/>
        </w:rPr>
        <w:t xml:space="preserve">. The Retention Team will brief the student about next steps and what Stage 2 will involve. The student will receive a link to their Stage 2 action plan via </w:t>
      </w:r>
      <w:proofErr w:type="gramStart"/>
      <w:r w:rsidRPr="00592F10">
        <w:rPr>
          <w:color w:val="000000" w:themeColor="text1"/>
        </w:rPr>
        <w:t>email</w:t>
      </w:r>
      <w:proofErr w:type="gramEnd"/>
      <w:r w:rsidRPr="00592F10">
        <w:rPr>
          <w:color w:val="000000" w:themeColor="text1"/>
        </w:rPr>
        <w:t xml:space="preserve"> and the PAT will be notified of the outcome and asked to arrange a meeting with the student.</w:t>
      </w:r>
    </w:p>
    <w:p w14:paraId="3E57595D" w14:textId="77777777" w:rsidR="00187AD2" w:rsidRPr="00592F10" w:rsidRDefault="00187AD2" w:rsidP="00850B35">
      <w:pPr>
        <w:pStyle w:val="Heading2"/>
        <w:rPr>
          <w:color w:val="000000" w:themeColor="text1"/>
        </w:rPr>
      </w:pPr>
      <w:r w:rsidRPr="00592F10">
        <w:rPr>
          <w:color w:val="000000" w:themeColor="text1"/>
        </w:rPr>
        <w:t>If the student:</w:t>
      </w:r>
    </w:p>
    <w:p w14:paraId="380C102A" w14:textId="77777777"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rPr>
        <w:t xml:space="preserve">fails to respond to any contact attempts </w:t>
      </w:r>
    </w:p>
    <w:p w14:paraId="41D4EAC2" w14:textId="77777777"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rPr>
        <w:t xml:space="preserve">fails to attend any of their Stage 1 appointments </w:t>
      </w:r>
    </w:p>
    <w:p w14:paraId="203EE39A" w14:textId="0C769245"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rPr>
        <w:t xml:space="preserve">exhibits no evidence of engagement via </w:t>
      </w:r>
      <w:proofErr w:type="spellStart"/>
      <w:r w:rsidRPr="008A5EE6">
        <w:rPr>
          <w:color w:val="000000" w:themeColor="text1"/>
        </w:rPr>
        <w:t>Met</w:t>
      </w:r>
      <w:r w:rsidR="008A5EE6" w:rsidRPr="008A5EE6">
        <w:rPr>
          <w:color w:val="000000" w:themeColor="text1"/>
        </w:rPr>
        <w:t>S</w:t>
      </w:r>
      <w:r w:rsidRPr="008A5EE6">
        <w:rPr>
          <w:color w:val="000000" w:themeColor="text1"/>
        </w:rPr>
        <w:t>tats</w:t>
      </w:r>
      <w:proofErr w:type="spellEnd"/>
      <w:r w:rsidRPr="00592F10">
        <w:rPr>
          <w:color w:val="000000" w:themeColor="text1"/>
        </w:rPr>
        <w:t xml:space="preserve"> for at least 2 weeks</w:t>
      </w:r>
      <w:r w:rsidR="0023401E" w:rsidRPr="00592F10">
        <w:rPr>
          <w:color w:val="000000" w:themeColor="text1"/>
        </w:rPr>
        <w:t>,</w:t>
      </w:r>
    </w:p>
    <w:p w14:paraId="27AE5D98" w14:textId="77777777" w:rsidR="00187AD2" w:rsidRPr="00592F10" w:rsidRDefault="00187AD2" w:rsidP="0023401E">
      <w:pPr>
        <w:pStyle w:val="Heading2"/>
        <w:numPr>
          <w:ilvl w:val="0"/>
          <w:numId w:val="0"/>
        </w:numPr>
        <w:ind w:left="718"/>
        <w:rPr>
          <w:color w:val="000000" w:themeColor="text1"/>
        </w:rPr>
      </w:pPr>
      <w:r w:rsidRPr="00592F10">
        <w:rPr>
          <w:color w:val="000000" w:themeColor="text1"/>
        </w:rPr>
        <w:t xml:space="preserve">The student will be referred to their PAT and Programme Director to </w:t>
      </w:r>
      <w:proofErr w:type="gramStart"/>
      <w:r w:rsidRPr="00592F10">
        <w:rPr>
          <w:color w:val="000000" w:themeColor="text1"/>
        </w:rPr>
        <w:t>make a decision</w:t>
      </w:r>
      <w:proofErr w:type="gramEnd"/>
      <w:r w:rsidRPr="00592F10">
        <w:rPr>
          <w:color w:val="000000" w:themeColor="text1"/>
        </w:rPr>
        <w:t xml:space="preserve"> on next steps regarding the student’s continuation of studies at Cardiff Met.  The Programme Director may make a recommendation to the Exam Board that the student be withdrawn for non-engagement.</w:t>
      </w:r>
    </w:p>
    <w:p w14:paraId="6749511B" w14:textId="77777777" w:rsidR="00187AD2" w:rsidRPr="00592F10" w:rsidRDefault="00187AD2" w:rsidP="00B838D2">
      <w:pPr>
        <w:pStyle w:val="Heading1"/>
        <w:rPr>
          <w:b/>
          <w:bCs/>
          <w:color w:val="000000" w:themeColor="text1"/>
        </w:rPr>
      </w:pPr>
      <w:r w:rsidRPr="00592F10">
        <w:rPr>
          <w:color w:val="000000" w:themeColor="text1"/>
        </w:rPr>
        <w:t>Stage 2 – Progress Action Planning</w:t>
      </w:r>
    </w:p>
    <w:p w14:paraId="02B95E31" w14:textId="4E0B622F" w:rsidR="00187AD2" w:rsidRPr="00592F10" w:rsidRDefault="00187AD2" w:rsidP="0023401E">
      <w:pPr>
        <w:pStyle w:val="Heading2"/>
        <w:rPr>
          <w:color w:val="000000" w:themeColor="text1"/>
        </w:rPr>
      </w:pPr>
      <w:r w:rsidRPr="00592F10">
        <w:rPr>
          <w:color w:val="000000" w:themeColor="text1"/>
        </w:rPr>
        <w:t xml:space="preserve">If there are ongoing concerns about a student's wellbeing and academic progress that have not been resolved at </w:t>
      </w:r>
      <w:r w:rsidR="006069FA" w:rsidRPr="00592F10">
        <w:rPr>
          <w:color w:val="000000" w:themeColor="text1"/>
        </w:rPr>
        <w:t>S</w:t>
      </w:r>
      <w:r w:rsidRPr="00592F10">
        <w:rPr>
          <w:color w:val="000000" w:themeColor="text1"/>
        </w:rPr>
        <w:t>tage 1</w:t>
      </w:r>
      <w:r w:rsidR="00F87FDB">
        <w:rPr>
          <w:color w:val="000000" w:themeColor="text1"/>
        </w:rPr>
        <w:t>,</w:t>
      </w:r>
      <w:r w:rsidRPr="00592F10">
        <w:rPr>
          <w:color w:val="000000" w:themeColor="text1"/>
        </w:rPr>
        <w:t xml:space="preserve"> a referral to </w:t>
      </w:r>
      <w:r w:rsidR="006069FA" w:rsidRPr="00592F10">
        <w:rPr>
          <w:color w:val="000000" w:themeColor="text1"/>
        </w:rPr>
        <w:t>S</w:t>
      </w:r>
      <w:r w:rsidRPr="00592F10">
        <w:rPr>
          <w:color w:val="000000" w:themeColor="text1"/>
        </w:rPr>
        <w:t xml:space="preserve">tage 2 will be agreed and escalated.  </w:t>
      </w:r>
    </w:p>
    <w:p w14:paraId="1C5F2810" w14:textId="6E7E1CD1" w:rsidR="00187AD2" w:rsidRPr="00592F10" w:rsidRDefault="00187AD2" w:rsidP="0023401E">
      <w:pPr>
        <w:pStyle w:val="Heading2"/>
        <w:rPr>
          <w:color w:val="000000" w:themeColor="text1"/>
        </w:rPr>
      </w:pPr>
      <w:r w:rsidRPr="00592F10">
        <w:rPr>
          <w:color w:val="000000" w:themeColor="text1"/>
        </w:rPr>
        <w:t xml:space="preserve">A student will usually be given </w:t>
      </w:r>
      <w:r w:rsidR="006069FA" w:rsidRPr="00592F10">
        <w:rPr>
          <w:color w:val="000000" w:themeColor="text1"/>
        </w:rPr>
        <w:t>six</w:t>
      </w:r>
      <w:r w:rsidRPr="00592F10">
        <w:rPr>
          <w:color w:val="000000" w:themeColor="text1"/>
        </w:rPr>
        <w:t xml:space="preserve"> teaching weeks to show consistent engagement and progression with the agreed improvements required by the action plan. These weeks may fall either side of academic holidays. At week 3 the PAT will organise a review meeting with the student to check on progress towards agreed actions, discuss barriers to progress, agree remedial actions etc. </w:t>
      </w:r>
    </w:p>
    <w:p w14:paraId="0990B261" w14:textId="21EE0229" w:rsidR="00187AD2" w:rsidRPr="00592F10" w:rsidRDefault="00FB6FB8" w:rsidP="0023401E">
      <w:pPr>
        <w:pStyle w:val="Heading2"/>
        <w:rPr>
          <w:rFonts w:eastAsiaTheme="minorEastAsia"/>
          <w:color w:val="000000" w:themeColor="text1"/>
        </w:rPr>
      </w:pPr>
      <w:r>
        <w:rPr>
          <w:rFonts w:eastAsiaTheme="minorEastAsia"/>
          <w:color w:val="000000" w:themeColor="text1"/>
        </w:rPr>
        <w:t>The s</w:t>
      </w:r>
      <w:r w:rsidR="00187AD2" w:rsidRPr="00592F10">
        <w:rPr>
          <w:rFonts w:eastAsiaTheme="minorEastAsia"/>
          <w:color w:val="000000" w:themeColor="text1"/>
        </w:rPr>
        <w:t xml:space="preserve">tudent will receive an email with a link to their Stage 2 action plan following their final </w:t>
      </w:r>
      <w:r w:rsidR="006069FA" w:rsidRPr="00592F10">
        <w:rPr>
          <w:rFonts w:eastAsiaTheme="minorEastAsia"/>
          <w:color w:val="000000" w:themeColor="text1"/>
        </w:rPr>
        <w:t>S</w:t>
      </w:r>
      <w:r w:rsidR="00187AD2" w:rsidRPr="00592F10">
        <w:rPr>
          <w:rFonts w:eastAsiaTheme="minorEastAsia"/>
          <w:color w:val="000000" w:themeColor="text1"/>
        </w:rPr>
        <w:t xml:space="preserve">tage 1 meeting.  Students are given agency to complete certain sections of their </w:t>
      </w:r>
      <w:proofErr w:type="gramStart"/>
      <w:r w:rsidR="00187AD2" w:rsidRPr="00592F10">
        <w:rPr>
          <w:rFonts w:eastAsiaTheme="minorEastAsia"/>
          <w:color w:val="000000" w:themeColor="text1"/>
        </w:rPr>
        <w:t>plan in advance</w:t>
      </w:r>
      <w:proofErr w:type="gramEnd"/>
      <w:r w:rsidR="00187AD2" w:rsidRPr="00592F10">
        <w:rPr>
          <w:rFonts w:eastAsiaTheme="minorEastAsia"/>
          <w:color w:val="000000" w:themeColor="text1"/>
        </w:rPr>
        <w:t xml:space="preserve"> of the </w:t>
      </w:r>
      <w:r w:rsidR="006069FA" w:rsidRPr="00592F10">
        <w:rPr>
          <w:rFonts w:eastAsiaTheme="minorEastAsia"/>
          <w:color w:val="000000" w:themeColor="text1"/>
        </w:rPr>
        <w:t>S</w:t>
      </w:r>
      <w:r w:rsidR="00187AD2" w:rsidRPr="00592F10">
        <w:rPr>
          <w:rFonts w:eastAsiaTheme="minorEastAsia"/>
          <w:color w:val="000000" w:themeColor="text1"/>
        </w:rPr>
        <w:t>tage 2 meeting demonstrating their commitment to this process.</w:t>
      </w:r>
    </w:p>
    <w:p w14:paraId="0F17DF13" w14:textId="527D225D" w:rsidR="00187AD2" w:rsidRPr="00592F10" w:rsidRDefault="00187AD2" w:rsidP="0023401E">
      <w:pPr>
        <w:pStyle w:val="Heading2"/>
        <w:rPr>
          <w:rFonts w:eastAsiaTheme="minorEastAsia"/>
          <w:color w:val="000000" w:themeColor="text1"/>
        </w:rPr>
      </w:pPr>
      <w:r w:rsidRPr="00592F10">
        <w:rPr>
          <w:rFonts w:eastAsiaTheme="minorEastAsia"/>
          <w:color w:val="000000" w:themeColor="text1"/>
        </w:rPr>
        <w:lastRenderedPageBreak/>
        <w:t xml:space="preserve">Students should receive an email invitation </w:t>
      </w:r>
      <w:proofErr w:type="gramStart"/>
      <w:r w:rsidRPr="00592F10">
        <w:rPr>
          <w:rFonts w:eastAsiaTheme="minorEastAsia"/>
          <w:color w:val="000000" w:themeColor="text1"/>
        </w:rPr>
        <w:t>from their Personal Academic Tutor (PAT),</w:t>
      </w:r>
      <w:proofErr w:type="gramEnd"/>
      <w:r w:rsidRPr="00592F10">
        <w:rPr>
          <w:rFonts w:eastAsiaTheme="minorEastAsia"/>
          <w:color w:val="000000" w:themeColor="text1"/>
        </w:rPr>
        <w:t xml:space="preserve"> to a </w:t>
      </w:r>
      <w:r w:rsidR="00AB6E9E">
        <w:rPr>
          <w:rFonts w:eastAsiaTheme="minorEastAsia"/>
          <w:color w:val="000000" w:themeColor="text1"/>
        </w:rPr>
        <w:t>S</w:t>
      </w:r>
      <w:r w:rsidRPr="00592F10">
        <w:rPr>
          <w:rFonts w:eastAsiaTheme="minorEastAsia"/>
          <w:color w:val="000000" w:themeColor="text1"/>
        </w:rPr>
        <w:t xml:space="preserve">tage 2 meeting within 10 working days of the final </w:t>
      </w:r>
      <w:r w:rsidR="00AB6E9E">
        <w:rPr>
          <w:rFonts w:eastAsiaTheme="minorEastAsia"/>
          <w:color w:val="000000" w:themeColor="text1"/>
        </w:rPr>
        <w:t>S</w:t>
      </w:r>
      <w:r w:rsidRPr="00592F10">
        <w:rPr>
          <w:rFonts w:eastAsiaTheme="minorEastAsia"/>
          <w:color w:val="000000" w:themeColor="text1"/>
        </w:rPr>
        <w:t xml:space="preserve">tage 1 meeting. Students may be accompanied by a support worker, advocate or family member.  </w:t>
      </w:r>
    </w:p>
    <w:p w14:paraId="21D59959" w14:textId="77777777" w:rsidR="00187AD2" w:rsidRPr="00592F10" w:rsidRDefault="00187AD2" w:rsidP="0023401E">
      <w:pPr>
        <w:pStyle w:val="Heading2"/>
        <w:rPr>
          <w:rFonts w:eastAsiaTheme="minorEastAsia"/>
          <w:color w:val="000000" w:themeColor="text1"/>
        </w:rPr>
      </w:pPr>
      <w:r w:rsidRPr="00592F10">
        <w:rPr>
          <w:rFonts w:eastAsiaTheme="minorEastAsia"/>
          <w:color w:val="000000" w:themeColor="text1"/>
        </w:rPr>
        <w:t>The Stage 2 Action Plan will focus on setting out actions for improvement in the following areas:</w:t>
      </w:r>
    </w:p>
    <w:p w14:paraId="1A689CB6"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rPr>
        <w:t>Attendance</w:t>
      </w:r>
    </w:p>
    <w:p w14:paraId="3A50C07E"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rPr>
        <w:t>Online Engagement</w:t>
      </w:r>
    </w:p>
    <w:p w14:paraId="46F57B76"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rPr>
        <w:t>Assessment and Progression</w:t>
      </w:r>
    </w:p>
    <w:p w14:paraId="528E47F7"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rPr>
        <w:t>Health and Wellbeing</w:t>
      </w:r>
    </w:p>
    <w:p w14:paraId="376BB05D" w14:textId="5181B765" w:rsidR="00187AD2" w:rsidRPr="00592F10" w:rsidRDefault="00187AD2" w:rsidP="006069FA">
      <w:pPr>
        <w:pStyle w:val="Heading2"/>
        <w:rPr>
          <w:color w:val="000000" w:themeColor="text1"/>
        </w:rPr>
      </w:pPr>
      <w:r w:rsidRPr="00592F10">
        <w:rPr>
          <w:color w:val="000000" w:themeColor="text1"/>
        </w:rPr>
        <w:t xml:space="preserve">The Stage 2 action plan should include clear specific actions which will be regularly reviewed to monitor progress and ensure continued support. This may include adjustments to assessment submissions, in accordance with the Mitigating Circumstances procedure. </w:t>
      </w:r>
      <w:r w:rsidR="005047A7">
        <w:rPr>
          <w:color w:val="000000" w:themeColor="text1"/>
        </w:rPr>
        <w:t>I</w:t>
      </w:r>
      <w:r w:rsidRPr="00592F10">
        <w:rPr>
          <w:color w:val="000000" w:themeColor="text1"/>
        </w:rPr>
        <w:t xml:space="preserve">f the student or PAT identify a need for wellbeing support this can be requested by the PAT via the Cause for Concern form. </w:t>
      </w:r>
    </w:p>
    <w:p w14:paraId="3959AD43" w14:textId="77777777" w:rsidR="00187AD2" w:rsidRPr="00BD0B94" w:rsidRDefault="00187AD2" w:rsidP="00187AD2">
      <w:pPr>
        <w:pStyle w:val="Heading1"/>
        <w:rPr>
          <w:b/>
          <w:bCs/>
          <w:color w:val="auto"/>
        </w:rPr>
      </w:pPr>
      <w:r w:rsidRPr="00BD0B94">
        <w:rPr>
          <w:color w:val="auto"/>
        </w:rPr>
        <w:t>Stage 3</w:t>
      </w:r>
    </w:p>
    <w:p w14:paraId="4058B623" w14:textId="77777777" w:rsidR="00187AD2" w:rsidRPr="005F623F" w:rsidRDefault="00187AD2" w:rsidP="006D6744">
      <w:pPr>
        <w:pStyle w:val="Heading2"/>
        <w:rPr>
          <w:b/>
          <w:bCs/>
          <w:color w:val="auto"/>
        </w:rPr>
      </w:pPr>
      <w:r w:rsidRPr="005F623F">
        <w:rPr>
          <w:b/>
          <w:bCs/>
          <w:color w:val="auto"/>
        </w:rPr>
        <w:t>Initial Panel Meeting</w:t>
      </w:r>
    </w:p>
    <w:p w14:paraId="26502B8B" w14:textId="77777777" w:rsidR="00187AD2" w:rsidRPr="005F623F" w:rsidRDefault="00187AD2" w:rsidP="00BC059E">
      <w:pPr>
        <w:pStyle w:val="Heading3"/>
        <w:rPr>
          <w:color w:val="000000" w:themeColor="text1"/>
        </w:rPr>
      </w:pPr>
      <w:r w:rsidRPr="005F623F">
        <w:rPr>
          <w:color w:val="000000" w:themeColor="text1"/>
        </w:rPr>
        <w:t>If, in the view of the staff members managing the Stage 2 procedure, the student continues to experience difficulties and has not been able to meet the actions within the agreed action plan, they will formally request that the Chief Student Officer or nominee convene an initial Stage 3 Panel meeting to review the evidence and information available.</w:t>
      </w:r>
    </w:p>
    <w:p w14:paraId="684420B6" w14:textId="77777777" w:rsidR="00807EC4" w:rsidRPr="005F623F" w:rsidRDefault="00807EC4" w:rsidP="00807EC4">
      <w:pPr>
        <w:pStyle w:val="Heading3"/>
        <w:numPr>
          <w:ilvl w:val="0"/>
          <w:numId w:val="0"/>
        </w:numPr>
        <w:ind w:left="851"/>
        <w:rPr>
          <w:color w:val="000000" w:themeColor="text1"/>
        </w:rPr>
      </w:pPr>
    </w:p>
    <w:p w14:paraId="6CA32A44" w14:textId="77777777" w:rsidR="00187AD2" w:rsidRPr="005F623F" w:rsidRDefault="00187AD2" w:rsidP="00BC059E">
      <w:pPr>
        <w:pStyle w:val="Heading3"/>
        <w:rPr>
          <w:color w:val="000000" w:themeColor="text1"/>
        </w:rPr>
      </w:pPr>
      <w:r w:rsidRPr="005F623F">
        <w:rPr>
          <w:color w:val="000000" w:themeColor="text1"/>
        </w:rPr>
        <w:t xml:space="preserve">If the panel concludes that the evidence clearly demonstrates continued lack of academic progress, </w:t>
      </w:r>
      <w:proofErr w:type="gramStart"/>
      <w:r w:rsidRPr="005F623F">
        <w:rPr>
          <w:color w:val="000000" w:themeColor="text1"/>
        </w:rPr>
        <w:t>in spite of</w:t>
      </w:r>
      <w:proofErr w:type="gramEnd"/>
      <w:r w:rsidRPr="005F623F">
        <w:rPr>
          <w:color w:val="000000" w:themeColor="text1"/>
        </w:rPr>
        <w:t xml:space="preserve"> the additional support offered, or that the concerns are significant enough to warrant direct escalation to Stage 3 e.g. concerns around behaviour</w:t>
      </w:r>
      <w:r w:rsidRPr="005F623F">
        <w:rPr>
          <w:color w:val="000000" w:themeColor="text1"/>
          <w:u w:val="single"/>
        </w:rPr>
        <w:t>,</w:t>
      </w:r>
      <w:r w:rsidRPr="005F623F">
        <w:rPr>
          <w:color w:val="000000" w:themeColor="text1"/>
        </w:rPr>
        <w:t xml:space="preserve"> they will recommend a Stage 3 Panel meeting to consider the student’s case. </w:t>
      </w:r>
    </w:p>
    <w:p w14:paraId="375D4486" w14:textId="77777777" w:rsidR="00807EC4" w:rsidRPr="005F623F" w:rsidRDefault="00807EC4" w:rsidP="00807EC4">
      <w:pPr>
        <w:pStyle w:val="Heading3"/>
        <w:numPr>
          <w:ilvl w:val="0"/>
          <w:numId w:val="0"/>
        </w:numPr>
        <w:ind w:left="851"/>
        <w:rPr>
          <w:color w:val="000000" w:themeColor="text1"/>
        </w:rPr>
      </w:pPr>
    </w:p>
    <w:p w14:paraId="4A996A70" w14:textId="39579F84" w:rsidR="00187AD2" w:rsidRPr="005F623F" w:rsidRDefault="00187AD2" w:rsidP="00BC059E">
      <w:pPr>
        <w:pStyle w:val="Heading3"/>
        <w:rPr>
          <w:color w:val="000000" w:themeColor="text1"/>
        </w:rPr>
      </w:pPr>
      <w:r w:rsidRPr="005F623F">
        <w:rPr>
          <w:color w:val="000000" w:themeColor="text1"/>
        </w:rPr>
        <w:t>The Chair of the panel is responsible for arranging a date, time and venue for the panel meeting, and for inviting the student and panel members to the meeting. The panel will meet within 10 working days of the student being notified of the transition to Stage 3</w:t>
      </w:r>
      <w:r w:rsidR="00807EC4" w:rsidRPr="005F623F">
        <w:rPr>
          <w:color w:val="000000" w:themeColor="text1"/>
        </w:rPr>
        <w:t>.</w:t>
      </w:r>
    </w:p>
    <w:p w14:paraId="23D5C009" w14:textId="77777777" w:rsidR="00807EC4" w:rsidRPr="005F623F" w:rsidRDefault="00807EC4" w:rsidP="00807EC4">
      <w:pPr>
        <w:pStyle w:val="Heading3"/>
        <w:numPr>
          <w:ilvl w:val="0"/>
          <w:numId w:val="0"/>
        </w:numPr>
        <w:ind w:left="851"/>
        <w:rPr>
          <w:color w:val="000000" w:themeColor="text1"/>
        </w:rPr>
      </w:pPr>
    </w:p>
    <w:p w14:paraId="7A952EB7" w14:textId="77777777" w:rsidR="00187AD2" w:rsidRPr="005F623F" w:rsidRDefault="00187AD2" w:rsidP="00BC059E">
      <w:pPr>
        <w:pStyle w:val="Heading3"/>
        <w:rPr>
          <w:color w:val="000000" w:themeColor="text1"/>
        </w:rPr>
      </w:pPr>
      <w:r w:rsidRPr="005F623F">
        <w:rPr>
          <w:color w:val="000000" w:themeColor="text1"/>
        </w:rPr>
        <w:t>The panel will agree to one of the following:</w:t>
      </w:r>
    </w:p>
    <w:p w14:paraId="482E0F20" w14:textId="77777777" w:rsidR="00187AD2" w:rsidRPr="005F623F" w:rsidRDefault="00187AD2" w:rsidP="00FF1826">
      <w:pPr>
        <w:pStyle w:val="Heading3"/>
        <w:numPr>
          <w:ilvl w:val="2"/>
          <w:numId w:val="8"/>
        </w:numPr>
        <w:rPr>
          <w:color w:val="000000" w:themeColor="text1"/>
        </w:rPr>
      </w:pPr>
      <w:r w:rsidRPr="005F623F">
        <w:rPr>
          <w:color w:val="000000" w:themeColor="text1"/>
        </w:rPr>
        <w:t>Allow the student to continue studying with no further interventions</w:t>
      </w:r>
    </w:p>
    <w:p w14:paraId="2A072727" w14:textId="77777777" w:rsidR="00187AD2" w:rsidRPr="005F623F" w:rsidRDefault="00187AD2" w:rsidP="00FF1826">
      <w:pPr>
        <w:pStyle w:val="Heading3"/>
        <w:numPr>
          <w:ilvl w:val="2"/>
          <w:numId w:val="8"/>
        </w:numPr>
        <w:rPr>
          <w:strike/>
          <w:color w:val="000000" w:themeColor="text1"/>
        </w:rPr>
      </w:pPr>
      <w:r w:rsidRPr="005F623F">
        <w:rPr>
          <w:color w:val="000000" w:themeColor="text1"/>
        </w:rPr>
        <w:t xml:space="preserve">Extend and enhance the Stage 2 action plan </w:t>
      </w:r>
    </w:p>
    <w:p w14:paraId="6F75C58D" w14:textId="77777777" w:rsidR="00187AD2" w:rsidRPr="005F623F" w:rsidRDefault="00187AD2" w:rsidP="00FF1826">
      <w:pPr>
        <w:pStyle w:val="Heading3"/>
        <w:numPr>
          <w:ilvl w:val="2"/>
          <w:numId w:val="8"/>
        </w:numPr>
        <w:rPr>
          <w:color w:val="000000" w:themeColor="text1"/>
        </w:rPr>
      </w:pPr>
      <w:r w:rsidRPr="005F623F">
        <w:rPr>
          <w:color w:val="000000" w:themeColor="text1"/>
        </w:rPr>
        <w:t>Recommend a suspension of studies</w:t>
      </w:r>
    </w:p>
    <w:p w14:paraId="1428AFE1" w14:textId="77777777" w:rsidR="00187AD2" w:rsidRPr="005F623F" w:rsidRDefault="00187AD2" w:rsidP="00FF1826">
      <w:pPr>
        <w:pStyle w:val="Heading3"/>
        <w:numPr>
          <w:ilvl w:val="2"/>
          <w:numId w:val="8"/>
        </w:numPr>
        <w:rPr>
          <w:color w:val="000000" w:themeColor="text1"/>
        </w:rPr>
      </w:pPr>
      <w:r w:rsidRPr="005F623F">
        <w:rPr>
          <w:color w:val="000000" w:themeColor="text1"/>
        </w:rPr>
        <w:t>Recommend a withdrawal to the final Exam Board of the academic year</w:t>
      </w:r>
    </w:p>
    <w:p w14:paraId="78CC530B" w14:textId="77777777" w:rsidR="00807EC4" w:rsidRPr="005F623F" w:rsidRDefault="00807EC4" w:rsidP="00807EC4">
      <w:pPr>
        <w:pStyle w:val="Heading3"/>
        <w:numPr>
          <w:ilvl w:val="0"/>
          <w:numId w:val="0"/>
        </w:numPr>
        <w:ind w:left="927"/>
        <w:rPr>
          <w:i/>
          <w:iCs/>
          <w:color w:val="000000" w:themeColor="text1"/>
        </w:rPr>
      </w:pPr>
    </w:p>
    <w:p w14:paraId="77F015BD" w14:textId="20AD94FD" w:rsidR="00187AD2" w:rsidRPr="005F623F" w:rsidRDefault="00187AD2" w:rsidP="00BC059E">
      <w:pPr>
        <w:pStyle w:val="Heading3"/>
        <w:rPr>
          <w:color w:val="000000" w:themeColor="text1"/>
        </w:rPr>
      </w:pPr>
      <w:r w:rsidRPr="005F623F">
        <w:rPr>
          <w:color w:val="000000" w:themeColor="text1"/>
        </w:rPr>
        <w:lastRenderedPageBreak/>
        <w:t>At this stage, the Students’ Union will be notified that the student is required to attend a Stage 3 Support to Study process.</w:t>
      </w:r>
    </w:p>
    <w:p w14:paraId="3EA3F33C" w14:textId="77777777" w:rsidR="00807EC4" w:rsidRPr="005F623F" w:rsidRDefault="00807EC4" w:rsidP="00807EC4">
      <w:pPr>
        <w:pStyle w:val="Heading3"/>
        <w:numPr>
          <w:ilvl w:val="0"/>
          <w:numId w:val="0"/>
        </w:numPr>
        <w:ind w:left="567"/>
        <w:rPr>
          <w:color w:val="000000" w:themeColor="text1"/>
        </w:rPr>
      </w:pPr>
    </w:p>
    <w:p w14:paraId="507EED0B" w14:textId="78E1A7EA" w:rsidR="00187AD2" w:rsidRPr="005F623F" w:rsidRDefault="00187AD2" w:rsidP="00BC059E">
      <w:pPr>
        <w:pStyle w:val="Heading3"/>
        <w:rPr>
          <w:color w:val="000000" w:themeColor="text1"/>
        </w:rPr>
      </w:pPr>
      <w:r w:rsidRPr="005F623F">
        <w:rPr>
          <w:color w:val="000000" w:themeColor="text1"/>
        </w:rPr>
        <w:t>The information shared with the Students</w:t>
      </w:r>
      <w:r w:rsidR="00807EC4" w:rsidRPr="005F623F">
        <w:rPr>
          <w:color w:val="000000" w:themeColor="text1"/>
        </w:rPr>
        <w:t>’</w:t>
      </w:r>
      <w:r w:rsidRPr="005F623F">
        <w:rPr>
          <w:color w:val="000000" w:themeColor="text1"/>
        </w:rPr>
        <w:t xml:space="preserve"> Union will be limited to the student’s name, student number and the fact that they are subject to the process with the purpose of ensuring that the student’s interests are protected during the process. The student </w:t>
      </w:r>
      <w:proofErr w:type="gramStart"/>
      <w:r w:rsidRPr="005F623F">
        <w:rPr>
          <w:color w:val="000000" w:themeColor="text1"/>
        </w:rPr>
        <w:t>is able to</w:t>
      </w:r>
      <w:proofErr w:type="gramEnd"/>
      <w:r w:rsidRPr="005F623F">
        <w:rPr>
          <w:color w:val="000000" w:themeColor="text1"/>
        </w:rPr>
        <w:t xml:space="preserve"> decline any offer of support from the Students’ Union.</w:t>
      </w:r>
    </w:p>
    <w:p w14:paraId="3796C03A" w14:textId="77777777" w:rsidR="00807EC4" w:rsidRPr="005F623F" w:rsidRDefault="00807EC4" w:rsidP="00807EC4">
      <w:pPr>
        <w:pStyle w:val="Heading3"/>
        <w:numPr>
          <w:ilvl w:val="0"/>
          <w:numId w:val="0"/>
        </w:numPr>
        <w:rPr>
          <w:color w:val="000000" w:themeColor="text1"/>
        </w:rPr>
      </w:pPr>
    </w:p>
    <w:p w14:paraId="3058A2BA" w14:textId="77777777" w:rsidR="00187AD2" w:rsidRPr="005F623F" w:rsidRDefault="00187AD2" w:rsidP="00BC059E">
      <w:pPr>
        <w:pStyle w:val="Heading3"/>
        <w:rPr>
          <w:color w:val="000000" w:themeColor="text1"/>
        </w:rPr>
      </w:pPr>
      <w:r w:rsidRPr="005F623F">
        <w:rPr>
          <w:color w:val="000000" w:themeColor="text1"/>
        </w:rPr>
        <w:t xml:space="preserve"> The Stage 3 Panel will be made up of the following staff members:</w:t>
      </w:r>
    </w:p>
    <w:p w14:paraId="53678A58" w14:textId="77777777" w:rsidR="00187AD2" w:rsidRPr="005F623F" w:rsidRDefault="00187AD2" w:rsidP="00FF1826">
      <w:pPr>
        <w:pStyle w:val="Heading3"/>
        <w:numPr>
          <w:ilvl w:val="2"/>
          <w:numId w:val="9"/>
        </w:numPr>
        <w:rPr>
          <w:color w:val="000000" w:themeColor="text1"/>
        </w:rPr>
      </w:pPr>
      <w:r w:rsidRPr="005F623F">
        <w:rPr>
          <w:color w:val="000000" w:themeColor="text1"/>
        </w:rPr>
        <w:t>The Chief Student Officer (or nominee), who Chairs the panel</w:t>
      </w:r>
    </w:p>
    <w:p w14:paraId="46332477" w14:textId="77777777" w:rsidR="00187AD2" w:rsidRPr="005F623F" w:rsidRDefault="00187AD2" w:rsidP="00FF1826">
      <w:pPr>
        <w:pStyle w:val="Heading3"/>
        <w:numPr>
          <w:ilvl w:val="2"/>
          <w:numId w:val="9"/>
        </w:numPr>
        <w:rPr>
          <w:color w:val="000000" w:themeColor="text1"/>
        </w:rPr>
      </w:pPr>
      <w:r w:rsidRPr="005F623F">
        <w:rPr>
          <w:color w:val="000000" w:themeColor="text1"/>
        </w:rPr>
        <w:t>Dean of School (or delegated representative from the School Leadership Team)</w:t>
      </w:r>
    </w:p>
    <w:p w14:paraId="330AC28C" w14:textId="77777777" w:rsidR="00187AD2" w:rsidRPr="005F623F" w:rsidRDefault="00187AD2" w:rsidP="00FF1826">
      <w:pPr>
        <w:pStyle w:val="Heading3"/>
        <w:numPr>
          <w:ilvl w:val="2"/>
          <w:numId w:val="9"/>
        </w:numPr>
        <w:rPr>
          <w:strike/>
          <w:color w:val="000000" w:themeColor="text1"/>
        </w:rPr>
      </w:pPr>
      <w:r w:rsidRPr="005F623F">
        <w:rPr>
          <w:color w:val="000000" w:themeColor="text1"/>
        </w:rPr>
        <w:t xml:space="preserve">Programme Director </w:t>
      </w:r>
    </w:p>
    <w:p w14:paraId="3ED63C1E" w14:textId="77777777" w:rsidR="00187AD2" w:rsidRPr="005F623F" w:rsidRDefault="00187AD2" w:rsidP="00FF1826">
      <w:pPr>
        <w:pStyle w:val="Heading3"/>
        <w:numPr>
          <w:ilvl w:val="2"/>
          <w:numId w:val="9"/>
        </w:numPr>
        <w:rPr>
          <w:color w:val="000000" w:themeColor="text1"/>
        </w:rPr>
      </w:pPr>
      <w:r w:rsidRPr="005F623F">
        <w:rPr>
          <w:color w:val="000000" w:themeColor="text1"/>
        </w:rPr>
        <w:t>An independent member who holds an academic leadership position in another academic School</w:t>
      </w:r>
    </w:p>
    <w:p w14:paraId="3BCD1AC6" w14:textId="77777777" w:rsidR="00187AD2" w:rsidRPr="005F623F" w:rsidRDefault="00187AD2" w:rsidP="00FF1826">
      <w:pPr>
        <w:pStyle w:val="Heading3"/>
        <w:numPr>
          <w:ilvl w:val="2"/>
          <w:numId w:val="9"/>
        </w:numPr>
        <w:rPr>
          <w:color w:val="000000" w:themeColor="text1"/>
        </w:rPr>
      </w:pPr>
      <w:r w:rsidRPr="005F623F">
        <w:rPr>
          <w:color w:val="000000" w:themeColor="text1"/>
        </w:rPr>
        <w:t>Registry Services will provide a recorder for the meeting.</w:t>
      </w:r>
    </w:p>
    <w:p w14:paraId="4688E988" w14:textId="77777777" w:rsidR="00187AD2" w:rsidRPr="005F623F" w:rsidRDefault="00187AD2" w:rsidP="00807EC4">
      <w:pPr>
        <w:pStyle w:val="Heading3"/>
        <w:numPr>
          <w:ilvl w:val="0"/>
          <w:numId w:val="0"/>
        </w:numPr>
        <w:ind w:left="851"/>
        <w:rPr>
          <w:color w:val="000000" w:themeColor="text1"/>
        </w:rPr>
      </w:pPr>
    </w:p>
    <w:p w14:paraId="0D73EAD0" w14:textId="77777777" w:rsidR="00187AD2" w:rsidRPr="005F623F" w:rsidRDefault="00187AD2" w:rsidP="008C69EC">
      <w:pPr>
        <w:pStyle w:val="Heading3"/>
        <w:rPr>
          <w:strike/>
          <w:color w:val="000000" w:themeColor="text1"/>
        </w:rPr>
      </w:pPr>
      <w:r w:rsidRPr="005F623F">
        <w:rPr>
          <w:color w:val="000000" w:themeColor="text1"/>
        </w:rPr>
        <w:t>The panel will be supported by written evidence from one or more of the following staff members -</w:t>
      </w:r>
    </w:p>
    <w:p w14:paraId="3303F053" w14:textId="77777777" w:rsidR="00187AD2" w:rsidRPr="005F623F" w:rsidRDefault="00187AD2" w:rsidP="00FF1826">
      <w:pPr>
        <w:pStyle w:val="Heading3"/>
        <w:numPr>
          <w:ilvl w:val="2"/>
          <w:numId w:val="10"/>
        </w:numPr>
        <w:rPr>
          <w:color w:val="000000" w:themeColor="text1"/>
        </w:rPr>
      </w:pPr>
      <w:r w:rsidRPr="005F623F">
        <w:rPr>
          <w:color w:val="000000" w:themeColor="text1"/>
        </w:rPr>
        <w:t>Wellbeing Adviser</w:t>
      </w:r>
    </w:p>
    <w:p w14:paraId="392773EC" w14:textId="77777777" w:rsidR="00187AD2" w:rsidRPr="005F623F" w:rsidRDefault="00187AD2" w:rsidP="00FF1826">
      <w:pPr>
        <w:pStyle w:val="Heading3"/>
        <w:numPr>
          <w:ilvl w:val="2"/>
          <w:numId w:val="10"/>
        </w:numPr>
        <w:rPr>
          <w:color w:val="000000" w:themeColor="text1"/>
        </w:rPr>
      </w:pPr>
      <w:r w:rsidRPr="005F623F">
        <w:rPr>
          <w:color w:val="000000" w:themeColor="text1"/>
        </w:rPr>
        <w:t>Personal Tutor</w:t>
      </w:r>
    </w:p>
    <w:p w14:paraId="3997016C" w14:textId="77777777" w:rsidR="00187AD2" w:rsidRPr="005F623F" w:rsidRDefault="00187AD2" w:rsidP="00FF1826">
      <w:pPr>
        <w:pStyle w:val="Heading3"/>
        <w:numPr>
          <w:ilvl w:val="2"/>
          <w:numId w:val="10"/>
        </w:numPr>
        <w:rPr>
          <w:color w:val="000000" w:themeColor="text1"/>
        </w:rPr>
      </w:pPr>
      <w:r w:rsidRPr="005F623F">
        <w:rPr>
          <w:color w:val="000000" w:themeColor="text1"/>
        </w:rPr>
        <w:t>Any other relevant staff member</w:t>
      </w:r>
    </w:p>
    <w:p w14:paraId="711E5A28" w14:textId="77777777" w:rsidR="00187AD2" w:rsidRPr="005F623F" w:rsidRDefault="00187AD2" w:rsidP="008C69EC">
      <w:pPr>
        <w:pStyle w:val="Heading3"/>
        <w:numPr>
          <w:ilvl w:val="0"/>
          <w:numId w:val="0"/>
        </w:numPr>
        <w:ind w:left="851"/>
        <w:rPr>
          <w:color w:val="000000" w:themeColor="text1"/>
        </w:rPr>
      </w:pPr>
    </w:p>
    <w:p w14:paraId="3475AD23" w14:textId="77777777" w:rsidR="00187AD2" w:rsidRPr="005F623F" w:rsidRDefault="00187AD2" w:rsidP="00BC059E">
      <w:pPr>
        <w:pStyle w:val="Heading3"/>
        <w:rPr>
          <w:color w:val="000000" w:themeColor="text1"/>
        </w:rPr>
      </w:pPr>
      <w:r w:rsidRPr="005F623F">
        <w:rPr>
          <w:color w:val="000000" w:themeColor="text1"/>
        </w:rPr>
        <w:t xml:space="preserve">The panel will meet first </w:t>
      </w:r>
      <w:r w:rsidRPr="005F623F">
        <w:rPr>
          <w:b/>
          <w:bCs/>
          <w:i/>
          <w:iCs/>
          <w:color w:val="000000" w:themeColor="text1"/>
          <w:u w:val="single"/>
        </w:rPr>
        <w:t>without</w:t>
      </w:r>
      <w:r w:rsidRPr="005F623F">
        <w:rPr>
          <w:color w:val="000000" w:themeColor="text1"/>
        </w:rPr>
        <w:t xml:space="preserve"> the student to summarise and review evidence in relation to the case, paying particular attention to the Stage 2 activities. Those present will be provided with:</w:t>
      </w:r>
    </w:p>
    <w:p w14:paraId="217FF441" w14:textId="77777777" w:rsidR="00187AD2" w:rsidRPr="005F623F" w:rsidRDefault="00187AD2" w:rsidP="00FF1826">
      <w:pPr>
        <w:pStyle w:val="Heading3"/>
        <w:numPr>
          <w:ilvl w:val="2"/>
          <w:numId w:val="11"/>
        </w:numPr>
        <w:rPr>
          <w:color w:val="000000" w:themeColor="text1"/>
        </w:rPr>
      </w:pPr>
      <w:r w:rsidRPr="005F623F">
        <w:rPr>
          <w:color w:val="000000" w:themeColor="text1"/>
        </w:rPr>
        <w:t>A copy of the Stage 2 action plan annotated to show where it has not been met</w:t>
      </w:r>
    </w:p>
    <w:p w14:paraId="44CA219A" w14:textId="77777777" w:rsidR="00187AD2" w:rsidRPr="005F623F" w:rsidRDefault="00187AD2" w:rsidP="00FF1826">
      <w:pPr>
        <w:pStyle w:val="Heading3"/>
        <w:numPr>
          <w:ilvl w:val="2"/>
          <w:numId w:val="11"/>
        </w:numPr>
        <w:rPr>
          <w:color w:val="000000" w:themeColor="text1"/>
        </w:rPr>
      </w:pPr>
      <w:r w:rsidRPr="005F623F">
        <w:rPr>
          <w:color w:val="000000" w:themeColor="text1"/>
        </w:rPr>
        <w:t>A written summary of interaction and engagement with the student</w:t>
      </w:r>
      <w:r w:rsidRPr="005F623F">
        <w:rPr>
          <w:color w:val="000000" w:themeColor="text1"/>
        </w:rPr>
        <w:tab/>
      </w:r>
    </w:p>
    <w:p w14:paraId="1977EF6F" w14:textId="77777777" w:rsidR="00187AD2" w:rsidRDefault="00187AD2" w:rsidP="00FF1826">
      <w:pPr>
        <w:pStyle w:val="Heading3"/>
        <w:numPr>
          <w:ilvl w:val="2"/>
          <w:numId w:val="11"/>
        </w:numPr>
        <w:rPr>
          <w:color w:val="000000" w:themeColor="text1"/>
        </w:rPr>
      </w:pPr>
      <w:r w:rsidRPr="005F623F">
        <w:rPr>
          <w:color w:val="000000" w:themeColor="text1"/>
        </w:rPr>
        <w:t>The panel will not receive nor consider any medical documents. Their decisions will be based on assessing the risk as determined by the presenting behaviour.</w:t>
      </w:r>
    </w:p>
    <w:p w14:paraId="3EB9B9A9" w14:textId="77777777" w:rsidR="005F623F" w:rsidRPr="005F623F" w:rsidRDefault="005F623F" w:rsidP="005F623F">
      <w:pPr>
        <w:pStyle w:val="Heading3"/>
        <w:numPr>
          <w:ilvl w:val="0"/>
          <w:numId w:val="0"/>
        </w:numPr>
        <w:ind w:left="851" w:hanging="284"/>
        <w:rPr>
          <w:color w:val="000000" w:themeColor="text1"/>
        </w:rPr>
      </w:pPr>
    </w:p>
    <w:p w14:paraId="29292AAD" w14:textId="77777777" w:rsidR="00187AD2" w:rsidRPr="005F623F" w:rsidRDefault="00187AD2" w:rsidP="006D6744">
      <w:pPr>
        <w:pStyle w:val="Heading2"/>
        <w:rPr>
          <w:b/>
          <w:bCs/>
          <w:color w:val="000000" w:themeColor="text1"/>
        </w:rPr>
      </w:pPr>
      <w:r w:rsidRPr="005F623F">
        <w:rPr>
          <w:b/>
          <w:bCs/>
          <w:color w:val="000000" w:themeColor="text1"/>
        </w:rPr>
        <w:t>Panel Meeting with Student</w:t>
      </w:r>
    </w:p>
    <w:p w14:paraId="2B56EEEA" w14:textId="77777777" w:rsidR="00187AD2" w:rsidRPr="008A5EE6" w:rsidRDefault="00187AD2" w:rsidP="005F623F">
      <w:pPr>
        <w:pStyle w:val="Heading3"/>
        <w:rPr>
          <w:color w:val="auto"/>
        </w:rPr>
      </w:pPr>
      <w:r w:rsidRPr="008A5EE6">
        <w:rPr>
          <w:color w:val="auto"/>
        </w:rPr>
        <w:t>The student’s meeting with the panel will take place as soon as practicable, and in any case no longer than 5 working days after the initial panel meeting. The student may be accompanied by:</w:t>
      </w:r>
    </w:p>
    <w:p w14:paraId="4F179EE4" w14:textId="77777777" w:rsidR="005F623F" w:rsidRPr="00BD0B94" w:rsidRDefault="005F623F" w:rsidP="005F623F">
      <w:pPr>
        <w:pStyle w:val="Heading3"/>
        <w:numPr>
          <w:ilvl w:val="0"/>
          <w:numId w:val="0"/>
        </w:numPr>
        <w:ind w:left="851"/>
      </w:pPr>
    </w:p>
    <w:p w14:paraId="41184619" w14:textId="5FC20247"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rPr>
        <w:t>Students’ Union representative</w:t>
      </w:r>
    </w:p>
    <w:p w14:paraId="5B4604AC" w14:textId="5825D23B"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rPr>
        <w:t>family member or guardian</w:t>
      </w:r>
    </w:p>
    <w:p w14:paraId="282E214A" w14:textId="797C03CA"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rPr>
        <w:lastRenderedPageBreak/>
        <w:t>support worker</w:t>
      </w:r>
    </w:p>
    <w:p w14:paraId="0CBFCF74" w14:textId="77777777" w:rsidR="00187AD2" w:rsidRPr="00F53A04" w:rsidRDefault="00187AD2" w:rsidP="00F53A04">
      <w:pPr>
        <w:pStyle w:val="Heading3"/>
        <w:rPr>
          <w:color w:val="000000" w:themeColor="text1"/>
        </w:rPr>
      </w:pPr>
      <w:r w:rsidRPr="00F53A04">
        <w:rPr>
          <w:color w:val="000000" w:themeColor="text1"/>
        </w:rPr>
        <w:t>The supporter may not be another enrolled student, nor a formal legal representative. The student must notify the panel of the name of their companion at least one working day in advance of the meeting. The panel reserves the right to refuse an unsuitable companion.</w:t>
      </w:r>
    </w:p>
    <w:p w14:paraId="2F28ABD8" w14:textId="77777777" w:rsidR="00F53A04" w:rsidRPr="00F53A04" w:rsidRDefault="00F53A04" w:rsidP="00F53A04">
      <w:pPr>
        <w:pStyle w:val="Heading3"/>
        <w:numPr>
          <w:ilvl w:val="0"/>
          <w:numId w:val="0"/>
        </w:numPr>
        <w:ind w:left="851"/>
        <w:rPr>
          <w:color w:val="000000" w:themeColor="text1"/>
        </w:rPr>
      </w:pPr>
    </w:p>
    <w:p w14:paraId="35865821" w14:textId="42C2DFEE" w:rsidR="00187AD2" w:rsidRPr="00F53A04" w:rsidRDefault="00187AD2" w:rsidP="00F53A04">
      <w:pPr>
        <w:pStyle w:val="Heading3"/>
        <w:rPr>
          <w:color w:val="000000" w:themeColor="text1"/>
        </w:rPr>
      </w:pPr>
      <w:r w:rsidRPr="00F53A04">
        <w:rPr>
          <w:color w:val="000000" w:themeColor="text1"/>
        </w:rPr>
        <w:t>Ideally, the panel will meet with the student in person, but it may convene by Microsoft Teams, or any other meeting facilitation platform provided by the University.</w:t>
      </w:r>
    </w:p>
    <w:p w14:paraId="4EDBB339" w14:textId="77777777" w:rsidR="00F53A04" w:rsidRPr="00F53A04" w:rsidRDefault="00F53A04" w:rsidP="00F53A04">
      <w:pPr>
        <w:pStyle w:val="Heading3"/>
        <w:numPr>
          <w:ilvl w:val="0"/>
          <w:numId w:val="0"/>
        </w:numPr>
        <w:rPr>
          <w:color w:val="000000" w:themeColor="text1"/>
        </w:rPr>
      </w:pPr>
    </w:p>
    <w:p w14:paraId="7DEFAC4C" w14:textId="77777777" w:rsidR="00187AD2" w:rsidRPr="00F53A04" w:rsidRDefault="00187AD2" w:rsidP="00F53A04">
      <w:pPr>
        <w:pStyle w:val="Heading3"/>
        <w:rPr>
          <w:color w:val="000000" w:themeColor="text1"/>
        </w:rPr>
      </w:pPr>
      <w:r w:rsidRPr="00F53A04">
        <w:rPr>
          <w:color w:val="000000" w:themeColor="text1"/>
        </w:rPr>
        <w:t>The student will be provided with the same material that the panel has been able to review when they are invited to the meeting.</w:t>
      </w:r>
    </w:p>
    <w:p w14:paraId="4D2605D0" w14:textId="77777777" w:rsidR="00F53A04" w:rsidRPr="00F53A04" w:rsidRDefault="00F53A04" w:rsidP="00F53A04">
      <w:pPr>
        <w:pStyle w:val="Heading3"/>
        <w:numPr>
          <w:ilvl w:val="0"/>
          <w:numId w:val="0"/>
        </w:numPr>
        <w:rPr>
          <w:color w:val="000000" w:themeColor="text1"/>
        </w:rPr>
      </w:pPr>
    </w:p>
    <w:p w14:paraId="6EB1D64B" w14:textId="77777777" w:rsidR="00187AD2" w:rsidRPr="00F53A04" w:rsidRDefault="00187AD2" w:rsidP="00F53A04">
      <w:pPr>
        <w:pStyle w:val="Heading3"/>
        <w:rPr>
          <w:color w:val="000000" w:themeColor="text1"/>
        </w:rPr>
      </w:pPr>
      <w:r w:rsidRPr="00F53A04">
        <w:rPr>
          <w:color w:val="000000" w:themeColor="text1"/>
        </w:rPr>
        <w:t xml:space="preserve">In the meeting, the student will be provided with an opportunity to present any further information or mitigation regarding their situation. </w:t>
      </w:r>
    </w:p>
    <w:p w14:paraId="20885762" w14:textId="77777777" w:rsidR="00F53A04" w:rsidRPr="00F53A04" w:rsidRDefault="00F53A04" w:rsidP="00F53A04">
      <w:pPr>
        <w:pStyle w:val="Heading3"/>
        <w:numPr>
          <w:ilvl w:val="0"/>
          <w:numId w:val="0"/>
        </w:numPr>
        <w:rPr>
          <w:color w:val="000000" w:themeColor="text1"/>
        </w:rPr>
      </w:pPr>
    </w:p>
    <w:p w14:paraId="3776F0A9" w14:textId="77777777" w:rsidR="00187AD2" w:rsidRPr="00F53A04" w:rsidRDefault="00187AD2" w:rsidP="00F53A04">
      <w:pPr>
        <w:pStyle w:val="Heading3"/>
        <w:rPr>
          <w:color w:val="000000" w:themeColor="text1"/>
        </w:rPr>
      </w:pPr>
      <w:r w:rsidRPr="00F53A04">
        <w:rPr>
          <w:color w:val="000000" w:themeColor="text1"/>
        </w:rPr>
        <w:t>The student’s companion may help them to remember points to raise, and may ask questions of the panel, but may not speak on the student’s behalf.</w:t>
      </w:r>
    </w:p>
    <w:p w14:paraId="739A9493" w14:textId="77777777" w:rsidR="00F53A04" w:rsidRPr="00F53A04" w:rsidRDefault="00F53A04" w:rsidP="00F53A04">
      <w:pPr>
        <w:pStyle w:val="Heading3"/>
        <w:numPr>
          <w:ilvl w:val="0"/>
          <w:numId w:val="0"/>
        </w:numPr>
        <w:rPr>
          <w:color w:val="000000" w:themeColor="text1"/>
        </w:rPr>
      </w:pPr>
    </w:p>
    <w:p w14:paraId="68FB4F25" w14:textId="77777777" w:rsidR="00187AD2" w:rsidRPr="00F53A04" w:rsidRDefault="00187AD2" w:rsidP="00F53A04">
      <w:pPr>
        <w:pStyle w:val="Heading3"/>
        <w:rPr>
          <w:color w:val="000000" w:themeColor="text1"/>
        </w:rPr>
      </w:pPr>
      <w:r w:rsidRPr="00F53A04">
        <w:rPr>
          <w:color w:val="000000" w:themeColor="text1"/>
        </w:rPr>
        <w:t>If the student is unable to attend the panel because of illness or does not indicate whether they are able to attend, the panel will reconvene on one further occasion only at a time agreed with the student. If the student fails to attend the reconvened meeting, the panel will proceed in their absence.</w:t>
      </w:r>
    </w:p>
    <w:p w14:paraId="0C1830C9" w14:textId="77777777" w:rsidR="00187AD2" w:rsidRPr="00F53A04" w:rsidRDefault="00187AD2" w:rsidP="00187AD2">
      <w:pPr>
        <w:rPr>
          <w:rFonts w:eastAsiaTheme="minorEastAsia"/>
          <w:color w:val="000000" w:themeColor="text1"/>
        </w:rPr>
      </w:pPr>
    </w:p>
    <w:p w14:paraId="1714498B" w14:textId="77777777" w:rsidR="00187AD2" w:rsidRPr="00F53A04" w:rsidRDefault="00187AD2" w:rsidP="00F53A04">
      <w:pPr>
        <w:pStyle w:val="Heading3"/>
        <w:rPr>
          <w:color w:val="000000" w:themeColor="text1"/>
        </w:rPr>
      </w:pPr>
      <w:r w:rsidRPr="00F53A04">
        <w:rPr>
          <w:color w:val="000000" w:themeColor="text1"/>
        </w:rPr>
        <w:t>Following the meeting with the student, the panel will make its final decision on how to proceed. In doing so the Panel must consider:</w:t>
      </w:r>
    </w:p>
    <w:p w14:paraId="005607A8" w14:textId="4EC0E6B5"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 xml:space="preserve">To what extent support has been offered/taken up to </w:t>
      </w:r>
      <w:proofErr w:type="gramStart"/>
      <w:r w:rsidRPr="00F53A04">
        <w:rPr>
          <w:rFonts w:eastAsiaTheme="minorEastAsia"/>
          <w:color w:val="000000" w:themeColor="text1"/>
        </w:rPr>
        <w:t>date</w:t>
      </w:r>
      <w:r w:rsidR="00F53A04" w:rsidRPr="00F53A04">
        <w:rPr>
          <w:rFonts w:eastAsiaTheme="minorEastAsia"/>
          <w:color w:val="000000" w:themeColor="text1"/>
        </w:rPr>
        <w:t>;</w:t>
      </w:r>
      <w:proofErr w:type="gramEnd"/>
    </w:p>
    <w:p w14:paraId="7F70674F" w14:textId="595F7AA1"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 xml:space="preserve">The student’s academic progress to date and the likelihood of progressing to the next year of the </w:t>
      </w:r>
      <w:proofErr w:type="gramStart"/>
      <w:r w:rsidRPr="00F53A04">
        <w:rPr>
          <w:rFonts w:eastAsiaTheme="minorEastAsia"/>
          <w:color w:val="000000" w:themeColor="text1"/>
        </w:rPr>
        <w:t>programme</w:t>
      </w:r>
      <w:r w:rsidR="00F53A04" w:rsidRPr="00F53A04">
        <w:rPr>
          <w:rFonts w:eastAsiaTheme="minorEastAsia"/>
          <w:color w:val="000000" w:themeColor="text1"/>
        </w:rPr>
        <w:t>;</w:t>
      </w:r>
      <w:proofErr w:type="gramEnd"/>
    </w:p>
    <w:p w14:paraId="16383325" w14:textId="3EF05A44"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 xml:space="preserve">Medical or new evidence about the student’s current </w:t>
      </w:r>
      <w:proofErr w:type="gramStart"/>
      <w:r w:rsidRPr="00F53A04">
        <w:rPr>
          <w:rFonts w:eastAsiaTheme="minorEastAsia"/>
          <w:color w:val="000000" w:themeColor="text1"/>
        </w:rPr>
        <w:t>health</w:t>
      </w:r>
      <w:r w:rsidR="00F53A04" w:rsidRPr="00F53A04">
        <w:rPr>
          <w:rFonts w:eastAsiaTheme="minorEastAsia"/>
          <w:color w:val="000000" w:themeColor="text1"/>
        </w:rPr>
        <w:t>;</w:t>
      </w:r>
      <w:proofErr w:type="gramEnd"/>
    </w:p>
    <w:p w14:paraId="050ED475" w14:textId="67438ABC"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 xml:space="preserve">Relevant legislation, the University’s duty under the Equality </w:t>
      </w:r>
      <w:proofErr w:type="gramStart"/>
      <w:r w:rsidRPr="00F53A04">
        <w:rPr>
          <w:rFonts w:eastAsiaTheme="minorEastAsia"/>
          <w:color w:val="000000" w:themeColor="text1"/>
        </w:rPr>
        <w:t>Act</w:t>
      </w:r>
      <w:r w:rsidR="00F53A04" w:rsidRPr="00F53A04">
        <w:rPr>
          <w:rFonts w:eastAsiaTheme="minorEastAsia"/>
          <w:color w:val="000000" w:themeColor="text1"/>
        </w:rPr>
        <w:t>;</w:t>
      </w:r>
      <w:proofErr w:type="gramEnd"/>
    </w:p>
    <w:p w14:paraId="24F940F5" w14:textId="5EAF6E7D"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The impact of a break in studies on the student’s personal circumstances, (including financial and immigration status</w:t>
      </w:r>
      <w:proofErr w:type="gramStart"/>
      <w:r w:rsidRPr="00F53A04">
        <w:rPr>
          <w:rFonts w:eastAsiaTheme="minorEastAsia"/>
          <w:color w:val="000000" w:themeColor="text1"/>
        </w:rPr>
        <w:t>)</w:t>
      </w:r>
      <w:r w:rsidR="00F53A04" w:rsidRPr="00F53A04">
        <w:rPr>
          <w:rFonts w:eastAsiaTheme="minorEastAsia"/>
          <w:color w:val="000000" w:themeColor="text1"/>
        </w:rPr>
        <w:t>;</w:t>
      </w:r>
      <w:proofErr w:type="gramEnd"/>
    </w:p>
    <w:p w14:paraId="093DB02E" w14:textId="0B2E9EF5"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rPr>
        <w:t>The academic consequences of a break in studies</w:t>
      </w:r>
      <w:r w:rsidR="00F53A04" w:rsidRPr="00F53A04">
        <w:rPr>
          <w:rFonts w:eastAsiaTheme="minorEastAsia"/>
          <w:color w:val="000000" w:themeColor="text1"/>
        </w:rPr>
        <w:t>.</w:t>
      </w:r>
    </w:p>
    <w:p w14:paraId="3F921375" w14:textId="25349B2B" w:rsidR="00F53A04" w:rsidRPr="00F53A04" w:rsidRDefault="00187AD2" w:rsidP="00F53A04">
      <w:pPr>
        <w:pStyle w:val="Heading3"/>
        <w:rPr>
          <w:color w:val="000000" w:themeColor="text1"/>
        </w:rPr>
      </w:pPr>
      <w:r w:rsidRPr="00F53A04">
        <w:rPr>
          <w:color w:val="000000" w:themeColor="text1"/>
        </w:rPr>
        <w:t>Where the panel reaches the conclusion that the student’s studies shall be suspended, the student will be notified in writing by Registry Services within two working days of the panel meeting. This will usually be via an attachment to an email, and a student will be deemed to have received the notification on the day it is sent.</w:t>
      </w:r>
    </w:p>
    <w:p w14:paraId="7F97F731" w14:textId="77777777" w:rsidR="00F53A04" w:rsidRPr="00F53A04" w:rsidRDefault="00F53A04" w:rsidP="00F53A04">
      <w:pPr>
        <w:pStyle w:val="Heading3"/>
        <w:numPr>
          <w:ilvl w:val="0"/>
          <w:numId w:val="0"/>
        </w:numPr>
        <w:rPr>
          <w:color w:val="000000" w:themeColor="text1"/>
        </w:rPr>
      </w:pPr>
    </w:p>
    <w:p w14:paraId="73C8A623" w14:textId="77777777" w:rsidR="00187AD2" w:rsidRPr="00F53A04" w:rsidRDefault="00187AD2" w:rsidP="00F53A04">
      <w:pPr>
        <w:pStyle w:val="Heading3"/>
        <w:rPr>
          <w:color w:val="000000" w:themeColor="text1"/>
        </w:rPr>
      </w:pPr>
      <w:r w:rsidRPr="00F53A04">
        <w:rPr>
          <w:color w:val="000000" w:themeColor="text1"/>
        </w:rPr>
        <w:lastRenderedPageBreak/>
        <w:t>The notification will contain details of any conditions of re-enrolment and the process by which a student may appeal their suspension.</w:t>
      </w:r>
    </w:p>
    <w:p w14:paraId="22E4C0EA" w14:textId="77777777" w:rsidR="00F53A04" w:rsidRPr="00F53A04" w:rsidRDefault="00F53A04" w:rsidP="00F53A04">
      <w:pPr>
        <w:pStyle w:val="Heading3"/>
        <w:numPr>
          <w:ilvl w:val="0"/>
          <w:numId w:val="0"/>
        </w:numPr>
        <w:rPr>
          <w:color w:val="000000" w:themeColor="text1"/>
        </w:rPr>
      </w:pPr>
    </w:p>
    <w:p w14:paraId="739A7769" w14:textId="77777777" w:rsidR="00187AD2" w:rsidRPr="00F53A04" w:rsidRDefault="00187AD2" w:rsidP="00F53A04">
      <w:pPr>
        <w:pStyle w:val="Heading3"/>
        <w:rPr>
          <w:color w:val="000000" w:themeColor="text1"/>
        </w:rPr>
      </w:pPr>
      <w:r w:rsidRPr="00F53A04">
        <w:rPr>
          <w:color w:val="000000" w:themeColor="text1"/>
        </w:rPr>
        <w:t>Where evidence suggests a suspension of studies will likely make no appreciable difference to a student’s chances of successfully completing their qualification e.g. where a student is repeating a year of study and experiences the same difficulties. The Support to Study process may recommend to the Exam Board that the student is withdrawn from their studies for lack of academic progress.</w:t>
      </w:r>
    </w:p>
    <w:p w14:paraId="77C0A683" w14:textId="77777777" w:rsidR="000B51B6" w:rsidRPr="00F53A04" w:rsidRDefault="000B51B6" w:rsidP="006D6744">
      <w:pPr>
        <w:pStyle w:val="Heading1"/>
        <w:rPr>
          <w:color w:val="000000" w:themeColor="text1"/>
        </w:rPr>
      </w:pPr>
      <w:r w:rsidRPr="00F53A04">
        <w:rPr>
          <w:color w:val="000000" w:themeColor="text1"/>
        </w:rPr>
        <w:t xml:space="preserve">Return to Study </w:t>
      </w:r>
    </w:p>
    <w:p w14:paraId="147C83A2" w14:textId="07D29EF8" w:rsidR="00F53A04" w:rsidRPr="00F53A04" w:rsidRDefault="000B51B6" w:rsidP="00F53A04">
      <w:pPr>
        <w:pStyle w:val="Heading2"/>
        <w:rPr>
          <w:color w:val="000000" w:themeColor="text1"/>
        </w:rPr>
      </w:pPr>
      <w:r w:rsidRPr="00F53A04">
        <w:rPr>
          <w:color w:val="000000" w:themeColor="text1"/>
        </w:rPr>
        <w:t>Students who have been suspended under the Support to Study procedure are required to engage with the Student Retention Team and their School for a reengagement review meeting prior to re-enrolment. At this meeting, the student will be expected to provide evidence demonstrating that the conditions for re-enrolment have been met</w:t>
      </w:r>
      <w:r w:rsidR="00F53A04" w:rsidRPr="00F53A04">
        <w:rPr>
          <w:color w:val="000000" w:themeColor="text1"/>
        </w:rPr>
        <w:t>.</w:t>
      </w:r>
    </w:p>
    <w:p w14:paraId="34C0E9A6" w14:textId="4EA7BFF9" w:rsidR="000B51B6" w:rsidRPr="00F53A04" w:rsidRDefault="000B51B6" w:rsidP="00F53A04">
      <w:pPr>
        <w:pStyle w:val="Heading2"/>
        <w:rPr>
          <w:color w:val="000000" w:themeColor="text1"/>
        </w:rPr>
      </w:pPr>
      <w:r w:rsidRPr="00F53A04">
        <w:rPr>
          <w:color w:val="000000" w:themeColor="text1"/>
        </w:rPr>
        <w:t>Re-enrolment will not be permitted in the absence of sufficient and credible evidence to support the student’s readiness to resume their studies.</w:t>
      </w:r>
    </w:p>
    <w:p w14:paraId="07E3EA2A" w14:textId="77777777" w:rsidR="00187AD2" w:rsidRPr="00BD0B94" w:rsidRDefault="00187AD2" w:rsidP="00187AD2">
      <w:pPr>
        <w:rPr>
          <w:rFonts w:eastAsiaTheme="minorEastAsia"/>
          <w:color w:val="auto"/>
        </w:rPr>
      </w:pPr>
    </w:p>
    <w:p w14:paraId="4D9AF9D7" w14:textId="136B4618" w:rsidR="00187AD2" w:rsidRPr="00BD0B94" w:rsidRDefault="00494EBD" w:rsidP="003733B3">
      <w:pPr>
        <w:pStyle w:val="Heading1"/>
      </w:pPr>
      <w:r>
        <w:t xml:space="preserve">Request for </w:t>
      </w:r>
      <w:r w:rsidRPr="003733B3">
        <w:t>Review</w:t>
      </w:r>
      <w:r>
        <w:t xml:space="preserve"> of a Suspension of Studies Decision</w:t>
      </w:r>
    </w:p>
    <w:p w14:paraId="4D6F89DE" w14:textId="593AC707" w:rsidR="00187AD2" w:rsidRPr="00F26A87" w:rsidRDefault="00187AD2" w:rsidP="00BD0B94">
      <w:pPr>
        <w:pStyle w:val="Heading2"/>
        <w:rPr>
          <w:color w:val="000000" w:themeColor="text1"/>
        </w:rPr>
      </w:pPr>
      <w:r w:rsidRPr="00F26A87">
        <w:rPr>
          <w:color w:val="000000" w:themeColor="text1"/>
        </w:rPr>
        <w:t xml:space="preserve">A student can </w:t>
      </w:r>
      <w:r w:rsidR="00890F99" w:rsidRPr="00F26A87">
        <w:rPr>
          <w:color w:val="000000" w:themeColor="text1"/>
        </w:rPr>
        <w:t>request a review of</w:t>
      </w:r>
      <w:r w:rsidRPr="00F26A87">
        <w:rPr>
          <w:color w:val="000000" w:themeColor="text1"/>
        </w:rPr>
        <w:t xml:space="preserve"> a suspension of studies </w:t>
      </w:r>
      <w:r w:rsidR="00890F99" w:rsidRPr="00F26A87">
        <w:rPr>
          <w:color w:val="000000" w:themeColor="text1"/>
        </w:rPr>
        <w:t xml:space="preserve">decision </w:t>
      </w:r>
      <w:r w:rsidRPr="00F26A87">
        <w:rPr>
          <w:color w:val="000000" w:themeColor="text1"/>
        </w:rPr>
        <w:t>on the following grounds:</w:t>
      </w:r>
    </w:p>
    <w:p w14:paraId="4B08DE8B" w14:textId="0CBB71B6" w:rsidR="00187AD2" w:rsidRPr="00BD0B94" w:rsidRDefault="00187AD2" w:rsidP="00FF1826">
      <w:pPr>
        <w:pStyle w:val="ListParagraph"/>
        <w:numPr>
          <w:ilvl w:val="0"/>
          <w:numId w:val="4"/>
        </w:numPr>
        <w:rPr>
          <w:rFonts w:eastAsiaTheme="minorEastAsia"/>
          <w:color w:val="auto"/>
        </w:rPr>
      </w:pPr>
      <w:r w:rsidRPr="00BD0B94">
        <w:rPr>
          <w:rFonts w:eastAsiaTheme="minorEastAsia"/>
          <w:color w:val="auto"/>
        </w:rPr>
        <w:t xml:space="preserve">That they believe the </w:t>
      </w:r>
      <w:r w:rsidR="00890F99">
        <w:rPr>
          <w:rFonts w:eastAsiaTheme="minorEastAsia"/>
          <w:color w:val="auto"/>
        </w:rPr>
        <w:t>U</w:t>
      </w:r>
      <w:r w:rsidRPr="00BD0B94">
        <w:rPr>
          <w:rFonts w:eastAsiaTheme="minorEastAsia"/>
          <w:color w:val="auto"/>
        </w:rPr>
        <w:t>niversity did not follow its processes as set out in this document, and that if it had</w:t>
      </w:r>
      <w:r w:rsidR="00890F99">
        <w:rPr>
          <w:rFonts w:eastAsiaTheme="minorEastAsia"/>
          <w:color w:val="auto"/>
        </w:rPr>
        <w:t>,</w:t>
      </w:r>
      <w:r w:rsidRPr="00BD0B94">
        <w:rPr>
          <w:rFonts w:eastAsiaTheme="minorEastAsia"/>
          <w:color w:val="auto"/>
        </w:rPr>
        <w:t xml:space="preserve"> there </w:t>
      </w:r>
      <w:r w:rsidR="00890F99">
        <w:rPr>
          <w:rFonts w:eastAsiaTheme="minorEastAsia"/>
          <w:color w:val="auto"/>
        </w:rPr>
        <w:t>is</w:t>
      </w:r>
      <w:r w:rsidRPr="00BD0B94">
        <w:rPr>
          <w:rFonts w:eastAsiaTheme="minorEastAsia"/>
          <w:color w:val="auto"/>
        </w:rPr>
        <w:t xml:space="preserve"> a substantial likelihood that a different outcome would have been reached.</w:t>
      </w:r>
    </w:p>
    <w:p w14:paraId="2E4E4C9E" w14:textId="357D90A3" w:rsidR="00187AD2" w:rsidRPr="00BD0B94" w:rsidRDefault="00187AD2" w:rsidP="00FF1826">
      <w:pPr>
        <w:pStyle w:val="ListParagraph"/>
        <w:numPr>
          <w:ilvl w:val="0"/>
          <w:numId w:val="4"/>
        </w:numPr>
        <w:rPr>
          <w:rFonts w:eastAsiaTheme="minorEastAsia"/>
          <w:color w:val="auto"/>
        </w:rPr>
      </w:pPr>
      <w:r w:rsidRPr="00BD0B94">
        <w:rPr>
          <w:rFonts w:eastAsiaTheme="minorEastAsia"/>
          <w:color w:val="auto"/>
        </w:rPr>
        <w:t>That they have information which was available to the Support to Study panel at the time, but which was not considered, and which if it had might have resulted in a different decision.</w:t>
      </w:r>
    </w:p>
    <w:p w14:paraId="0CDE263D" w14:textId="5DA43499" w:rsidR="00187AD2" w:rsidRPr="00F26A87" w:rsidRDefault="00187AD2" w:rsidP="00BD0B94">
      <w:pPr>
        <w:pStyle w:val="Heading2"/>
        <w:rPr>
          <w:color w:val="000000" w:themeColor="text1"/>
        </w:rPr>
      </w:pPr>
      <w:r w:rsidRPr="00F26A87">
        <w:rPr>
          <w:color w:val="000000" w:themeColor="text1"/>
        </w:rPr>
        <w:t xml:space="preserve">Students may not introduce new information at the </w:t>
      </w:r>
      <w:r w:rsidR="00657545">
        <w:rPr>
          <w:color w:val="000000" w:themeColor="text1"/>
        </w:rPr>
        <w:t>review</w:t>
      </w:r>
      <w:r w:rsidRPr="00F26A87">
        <w:rPr>
          <w:color w:val="000000" w:themeColor="text1"/>
        </w:rPr>
        <w:t xml:space="preserve"> stage.</w:t>
      </w:r>
    </w:p>
    <w:p w14:paraId="05430B82" w14:textId="70D5A4F5" w:rsidR="002C4A30" w:rsidRPr="00F26A87" w:rsidRDefault="00187AD2" w:rsidP="00BD0B94">
      <w:pPr>
        <w:pStyle w:val="Heading2"/>
        <w:rPr>
          <w:color w:val="000000" w:themeColor="text1"/>
        </w:rPr>
      </w:pPr>
      <w:r w:rsidRPr="00F26A87">
        <w:rPr>
          <w:color w:val="000000" w:themeColor="text1"/>
        </w:rPr>
        <w:t xml:space="preserve">If a student wishes to </w:t>
      </w:r>
      <w:r w:rsidR="00977709" w:rsidRPr="00F26A87">
        <w:rPr>
          <w:color w:val="000000" w:themeColor="text1"/>
        </w:rPr>
        <w:t>request a review of</w:t>
      </w:r>
      <w:r w:rsidRPr="00F26A87">
        <w:rPr>
          <w:color w:val="000000" w:themeColor="text1"/>
        </w:rPr>
        <w:t xml:space="preserve"> the </w:t>
      </w:r>
      <w:proofErr w:type="spellStart"/>
      <w:r w:rsidR="00977709" w:rsidRPr="00F26A87">
        <w:rPr>
          <w:color w:val="000000" w:themeColor="text1"/>
        </w:rPr>
        <w:t>StS</w:t>
      </w:r>
      <w:proofErr w:type="spellEnd"/>
      <w:r w:rsidR="00977709" w:rsidRPr="00F26A87">
        <w:rPr>
          <w:color w:val="000000" w:themeColor="text1"/>
        </w:rPr>
        <w:t xml:space="preserve"> p</w:t>
      </w:r>
      <w:r w:rsidRPr="00F26A87">
        <w:rPr>
          <w:color w:val="000000" w:themeColor="text1"/>
        </w:rPr>
        <w:t xml:space="preserve">anel decision, they should follow the process set out in the University’s </w:t>
      </w:r>
      <w:hyperlink r:id="rId14" w:history="1">
        <w:r w:rsidR="002C4A30" w:rsidRPr="00842893">
          <w:rPr>
            <w:rStyle w:val="Hyperlink"/>
          </w:rPr>
          <w:t>A</w:t>
        </w:r>
        <w:r w:rsidRPr="00842893">
          <w:rPr>
            <w:rStyle w:val="Hyperlink"/>
          </w:rPr>
          <w:t xml:space="preserve">cademic </w:t>
        </w:r>
        <w:r w:rsidR="002C4A30" w:rsidRPr="00842893">
          <w:rPr>
            <w:rStyle w:val="Hyperlink"/>
          </w:rPr>
          <w:t>H</w:t>
        </w:r>
        <w:r w:rsidRPr="00842893">
          <w:rPr>
            <w:rStyle w:val="Hyperlink"/>
          </w:rPr>
          <w:t>andbook</w:t>
        </w:r>
      </w:hyperlink>
      <w:r w:rsidR="00F26A87" w:rsidRPr="00F26A87">
        <w:t xml:space="preserve"> </w:t>
      </w:r>
      <w:r w:rsidR="00F26A87" w:rsidRPr="00F26A87">
        <w:rPr>
          <w:color w:val="000000" w:themeColor="text1"/>
        </w:rPr>
        <w:t>within 14 days of being notified of the suspension.</w:t>
      </w:r>
    </w:p>
    <w:p w14:paraId="0D3F1BE8" w14:textId="03F47ED5" w:rsidR="00187AD2" w:rsidRPr="00F26A87" w:rsidRDefault="00187AD2" w:rsidP="00F853D8">
      <w:pPr>
        <w:pStyle w:val="Heading2"/>
        <w:rPr>
          <w:color w:val="000000" w:themeColor="text1"/>
        </w:rPr>
      </w:pPr>
      <w:r w:rsidRPr="00F26A87">
        <w:rPr>
          <w:color w:val="000000" w:themeColor="text1"/>
        </w:rPr>
        <w:t xml:space="preserve">Registry Services will review all documentation in relation to the original decision, as well as the </w:t>
      </w:r>
      <w:r w:rsidR="00F26A87" w:rsidRPr="00F26A87">
        <w:rPr>
          <w:color w:val="000000" w:themeColor="text1"/>
        </w:rPr>
        <w:t>request for review</w:t>
      </w:r>
      <w:r w:rsidRPr="00F26A87">
        <w:rPr>
          <w:color w:val="000000" w:themeColor="text1"/>
        </w:rPr>
        <w:t>, and will reach a recommendation within 1</w:t>
      </w:r>
      <w:r w:rsidR="003C2406">
        <w:rPr>
          <w:color w:val="000000" w:themeColor="text1"/>
        </w:rPr>
        <w:t>4</w:t>
      </w:r>
      <w:r w:rsidRPr="00F26A87">
        <w:rPr>
          <w:color w:val="000000" w:themeColor="text1"/>
        </w:rPr>
        <w:t xml:space="preserve"> days of the </w:t>
      </w:r>
      <w:r w:rsidR="00F26A87" w:rsidRPr="00F26A87">
        <w:rPr>
          <w:color w:val="000000" w:themeColor="text1"/>
        </w:rPr>
        <w:t>request</w:t>
      </w:r>
      <w:r w:rsidRPr="00F26A87">
        <w:rPr>
          <w:color w:val="000000" w:themeColor="text1"/>
        </w:rPr>
        <w:t xml:space="preserve"> being received. </w:t>
      </w:r>
    </w:p>
    <w:p w14:paraId="491E4542" w14:textId="52B9F9D5" w:rsidR="00187AD2" w:rsidRPr="00F26A87" w:rsidRDefault="00187AD2" w:rsidP="00F853D8">
      <w:pPr>
        <w:pStyle w:val="Heading2"/>
        <w:rPr>
          <w:color w:val="000000" w:themeColor="text1"/>
        </w:rPr>
      </w:pPr>
      <w:r w:rsidRPr="00F26A87">
        <w:rPr>
          <w:color w:val="000000" w:themeColor="text1"/>
        </w:rPr>
        <w:t>Th</w:t>
      </w:r>
      <w:r w:rsidR="00F26A87" w:rsidRPr="00F26A87">
        <w:rPr>
          <w:color w:val="000000" w:themeColor="text1"/>
        </w:rPr>
        <w:t>e</w:t>
      </w:r>
      <w:r w:rsidRPr="00F26A87">
        <w:rPr>
          <w:color w:val="000000" w:themeColor="text1"/>
        </w:rPr>
        <w:t xml:space="preserve"> </w:t>
      </w:r>
      <w:r w:rsidR="00F26A87" w:rsidRPr="00F26A87">
        <w:rPr>
          <w:color w:val="000000" w:themeColor="text1"/>
        </w:rPr>
        <w:t>outcome</w:t>
      </w:r>
      <w:r w:rsidRPr="00F26A87">
        <w:rPr>
          <w:color w:val="000000" w:themeColor="text1"/>
        </w:rPr>
        <w:t xml:space="preserve"> will be communicated to the student in writing. If the</w:t>
      </w:r>
      <w:r w:rsidR="00F26A87" w:rsidRPr="00F26A87">
        <w:rPr>
          <w:color w:val="000000" w:themeColor="text1"/>
        </w:rPr>
        <w:t>re is no change to the outcome and/or the</w:t>
      </w:r>
      <w:r w:rsidRPr="00F26A87">
        <w:rPr>
          <w:color w:val="000000" w:themeColor="text1"/>
        </w:rPr>
        <w:t xml:space="preserve"> suspension is upheld, this </w:t>
      </w:r>
      <w:r w:rsidR="00F853D8" w:rsidRPr="00F26A87">
        <w:rPr>
          <w:color w:val="000000" w:themeColor="text1"/>
        </w:rPr>
        <w:t>will be detailed in</w:t>
      </w:r>
      <w:r w:rsidRPr="00F26A87">
        <w:rPr>
          <w:color w:val="000000" w:themeColor="text1"/>
        </w:rPr>
        <w:t xml:space="preserve"> a formal Completion of Procedures letter.</w:t>
      </w:r>
    </w:p>
    <w:p w14:paraId="2ED0C0A4" w14:textId="77777777" w:rsidR="00C3235F" w:rsidRPr="00C3235F" w:rsidRDefault="00C3235F" w:rsidP="00A338EC">
      <w:pPr>
        <w:pStyle w:val="Heading2"/>
        <w:numPr>
          <w:ilvl w:val="0"/>
          <w:numId w:val="0"/>
        </w:numPr>
        <w:ind w:left="578"/>
      </w:pPr>
    </w:p>
    <w:p w14:paraId="14EE3C81" w14:textId="39BA1453" w:rsidR="004F3D8E" w:rsidRPr="00A338EC" w:rsidRDefault="00ED19D8" w:rsidP="00AD6592">
      <w:pPr>
        <w:pStyle w:val="Heading1"/>
      </w:pPr>
      <w:bookmarkStart w:id="8" w:name="_Toc77936664"/>
      <w:r w:rsidRPr="00A338EC">
        <w:lastRenderedPageBreak/>
        <w:t>Review</w:t>
      </w:r>
      <w:r w:rsidR="00DE4000" w:rsidRPr="00A338EC">
        <w:t xml:space="preserve"> and </w:t>
      </w:r>
      <w:r w:rsidRPr="00AD6592">
        <w:t>Approva</w:t>
      </w:r>
      <w:r w:rsidR="00DE4000" w:rsidRPr="00AD6592">
        <w:t>l</w:t>
      </w:r>
      <w:bookmarkEnd w:id="8"/>
    </w:p>
    <w:p w14:paraId="0123B04C" w14:textId="2A81CC9F" w:rsidR="0058261B" w:rsidRPr="005549F8" w:rsidRDefault="0058261B" w:rsidP="005549F8">
      <w:pPr>
        <w:pStyle w:val="Heading2"/>
        <w:rPr>
          <w:color w:val="auto"/>
        </w:rPr>
      </w:pPr>
      <w:r w:rsidRPr="005549F8">
        <w:rPr>
          <w:color w:val="auto"/>
        </w:rPr>
        <w:t>Th</w:t>
      </w:r>
      <w:r w:rsidR="0BA998CE" w:rsidRPr="005549F8">
        <w:rPr>
          <w:color w:val="auto"/>
        </w:rPr>
        <w:t>is</w:t>
      </w:r>
      <w:r w:rsidRPr="005549F8">
        <w:rPr>
          <w:color w:val="auto"/>
        </w:rPr>
        <w:t xml:space="preserve"> policy will be reviewed every two years, or sooner if relevant legislation or guidelines are introduced.</w:t>
      </w:r>
    </w:p>
    <w:p w14:paraId="78C4869A" w14:textId="5C1EC8BB" w:rsidR="005C6D0E" w:rsidRPr="001E135E" w:rsidRDefault="0058261B" w:rsidP="001E135E">
      <w:pPr>
        <w:pStyle w:val="Heading2"/>
        <w:rPr>
          <w:color w:val="auto"/>
        </w:rPr>
      </w:pPr>
      <w:r w:rsidRPr="005549F8">
        <w:rPr>
          <w:color w:val="auto"/>
        </w:rPr>
        <w:t>Th</w:t>
      </w:r>
      <w:r w:rsidR="2DDA8938" w:rsidRPr="005549F8">
        <w:rPr>
          <w:color w:val="auto"/>
        </w:rPr>
        <w:t>is</w:t>
      </w:r>
      <w:r w:rsidRPr="005549F8">
        <w:rPr>
          <w:color w:val="auto"/>
        </w:rPr>
        <w:t xml:space="preserve"> policy will be </w:t>
      </w:r>
      <w:r w:rsidR="3D1AC6FC" w:rsidRPr="005549F8">
        <w:rPr>
          <w:color w:val="auto"/>
        </w:rPr>
        <w:t>considered and approved by A</w:t>
      </w:r>
      <w:r w:rsidR="005D7842" w:rsidRPr="005549F8">
        <w:rPr>
          <w:color w:val="auto"/>
        </w:rPr>
        <w:t>cademic Board</w:t>
      </w:r>
      <w:r w:rsidR="3D1AC6FC" w:rsidRPr="005549F8">
        <w:rPr>
          <w:color w:val="auto"/>
        </w:rPr>
        <w:t>.</w:t>
      </w:r>
    </w:p>
    <w:sectPr w:rsidR="005C6D0E" w:rsidRPr="001E135E" w:rsidSect="00F20D28">
      <w:headerReference w:type="default" r:id="rId15"/>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BED3" w14:textId="77777777" w:rsidR="00BC54A8" w:rsidRDefault="00BC54A8" w:rsidP="003B0CD4">
      <w:pPr>
        <w:spacing w:after="0" w:line="240" w:lineRule="auto"/>
      </w:pPr>
      <w:r>
        <w:separator/>
      </w:r>
    </w:p>
  </w:endnote>
  <w:endnote w:type="continuationSeparator" w:id="0">
    <w:p w14:paraId="0FCC27AD" w14:textId="77777777" w:rsidR="00BC54A8" w:rsidRDefault="00BC54A8"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890F" w14:textId="77777777" w:rsidR="00BC54A8" w:rsidRDefault="00BC54A8" w:rsidP="003B0CD4">
      <w:pPr>
        <w:spacing w:after="0" w:line="240" w:lineRule="auto"/>
      </w:pPr>
      <w:r>
        <w:separator/>
      </w:r>
    </w:p>
  </w:footnote>
  <w:footnote w:type="continuationSeparator" w:id="0">
    <w:p w14:paraId="354B882E" w14:textId="77777777" w:rsidR="00BC54A8" w:rsidRDefault="00BC54A8"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C621" w14:textId="3FF26666" w:rsidR="00F62C1E" w:rsidRDefault="00F62C1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CAC"/>
    <w:multiLevelType w:val="multilevel"/>
    <w:tmpl w:val="1186C49C"/>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2D2F81"/>
    <w:multiLevelType w:val="hybridMultilevel"/>
    <w:tmpl w:val="277644B2"/>
    <w:lvl w:ilvl="0" w:tplc="4C3AD14A">
      <w:start w:val="1"/>
      <w:numFmt w:val="bullet"/>
      <w:lvlText w:val=""/>
      <w:lvlJc w:val="left"/>
      <w:pPr>
        <w:ind w:left="1494" w:hanging="28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6028"/>
    <w:multiLevelType w:val="multilevel"/>
    <w:tmpl w:val="D6F6230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233648F"/>
    <w:multiLevelType w:val="multilevel"/>
    <w:tmpl w:val="4C665F38"/>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615E307"/>
    <w:multiLevelType w:val="hybridMultilevel"/>
    <w:tmpl w:val="A41EB3EE"/>
    <w:lvl w:ilvl="0" w:tplc="E7843C40">
      <w:start w:val="1"/>
      <w:numFmt w:val="bullet"/>
      <w:lvlText w:val=""/>
      <w:lvlJc w:val="left"/>
      <w:pPr>
        <w:ind w:left="1134" w:hanging="283"/>
      </w:pPr>
      <w:rPr>
        <w:rFonts w:ascii="Symbol" w:hAnsi="Symbol" w:hint="default"/>
      </w:rPr>
    </w:lvl>
    <w:lvl w:ilvl="1" w:tplc="4D2C0CA4">
      <w:start w:val="1"/>
      <w:numFmt w:val="bullet"/>
      <w:lvlText w:val="o"/>
      <w:lvlJc w:val="left"/>
      <w:pPr>
        <w:ind w:left="1440" w:hanging="360"/>
      </w:pPr>
      <w:rPr>
        <w:rFonts w:ascii="Courier New" w:hAnsi="Courier New" w:hint="default"/>
      </w:rPr>
    </w:lvl>
    <w:lvl w:ilvl="2" w:tplc="5ADE79DA">
      <w:start w:val="1"/>
      <w:numFmt w:val="bullet"/>
      <w:lvlText w:val=""/>
      <w:lvlJc w:val="left"/>
      <w:pPr>
        <w:ind w:left="2160" w:hanging="360"/>
      </w:pPr>
      <w:rPr>
        <w:rFonts w:ascii="Wingdings" w:hAnsi="Wingdings" w:hint="default"/>
      </w:rPr>
    </w:lvl>
    <w:lvl w:ilvl="3" w:tplc="00AAE48E">
      <w:start w:val="1"/>
      <w:numFmt w:val="bullet"/>
      <w:lvlText w:val=""/>
      <w:lvlJc w:val="left"/>
      <w:pPr>
        <w:ind w:left="2880" w:hanging="360"/>
      </w:pPr>
      <w:rPr>
        <w:rFonts w:ascii="Symbol" w:hAnsi="Symbol" w:hint="default"/>
      </w:rPr>
    </w:lvl>
    <w:lvl w:ilvl="4" w:tplc="B99E69EE">
      <w:start w:val="1"/>
      <w:numFmt w:val="bullet"/>
      <w:lvlText w:val="o"/>
      <w:lvlJc w:val="left"/>
      <w:pPr>
        <w:ind w:left="3600" w:hanging="360"/>
      </w:pPr>
      <w:rPr>
        <w:rFonts w:ascii="Courier New" w:hAnsi="Courier New" w:hint="default"/>
      </w:rPr>
    </w:lvl>
    <w:lvl w:ilvl="5" w:tplc="391A02BC">
      <w:start w:val="1"/>
      <w:numFmt w:val="bullet"/>
      <w:lvlText w:val=""/>
      <w:lvlJc w:val="left"/>
      <w:pPr>
        <w:ind w:left="4320" w:hanging="360"/>
      </w:pPr>
      <w:rPr>
        <w:rFonts w:ascii="Wingdings" w:hAnsi="Wingdings" w:hint="default"/>
      </w:rPr>
    </w:lvl>
    <w:lvl w:ilvl="6" w:tplc="66A2E316">
      <w:start w:val="1"/>
      <w:numFmt w:val="bullet"/>
      <w:lvlText w:val=""/>
      <w:lvlJc w:val="left"/>
      <w:pPr>
        <w:ind w:left="5040" w:hanging="360"/>
      </w:pPr>
      <w:rPr>
        <w:rFonts w:ascii="Symbol" w:hAnsi="Symbol" w:hint="default"/>
      </w:rPr>
    </w:lvl>
    <w:lvl w:ilvl="7" w:tplc="86D656F8">
      <w:start w:val="1"/>
      <w:numFmt w:val="bullet"/>
      <w:lvlText w:val="o"/>
      <w:lvlJc w:val="left"/>
      <w:pPr>
        <w:ind w:left="5760" w:hanging="360"/>
      </w:pPr>
      <w:rPr>
        <w:rFonts w:ascii="Courier New" w:hAnsi="Courier New" w:hint="default"/>
      </w:rPr>
    </w:lvl>
    <w:lvl w:ilvl="8" w:tplc="BB8A3D04">
      <w:start w:val="1"/>
      <w:numFmt w:val="bullet"/>
      <w:lvlText w:val=""/>
      <w:lvlJc w:val="left"/>
      <w:pPr>
        <w:ind w:left="6480" w:hanging="360"/>
      </w:pPr>
      <w:rPr>
        <w:rFonts w:ascii="Wingdings" w:hAnsi="Wingdings" w:hint="default"/>
      </w:rPr>
    </w:lvl>
  </w:abstractNum>
  <w:abstractNum w:abstractNumId="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431301"/>
    <w:multiLevelType w:val="multilevel"/>
    <w:tmpl w:val="44FCC3E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lowerRoman"/>
      <w:lvlText w:val="%3."/>
      <w:lvlJc w:val="right"/>
      <w:pPr>
        <w:ind w:left="1134" w:hanging="283"/>
      </w:pPr>
      <w:rPr>
        <w:rFonts w:hint="default"/>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2FC00C0"/>
    <w:multiLevelType w:val="hybridMultilevel"/>
    <w:tmpl w:val="FEBC107C"/>
    <w:lvl w:ilvl="0" w:tplc="4C3AD14A">
      <w:start w:val="1"/>
      <w:numFmt w:val="bullet"/>
      <w:lvlText w:val=""/>
      <w:lvlJc w:val="left"/>
      <w:pPr>
        <w:ind w:left="1494" w:hanging="28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F57F0C"/>
    <w:multiLevelType w:val="multilevel"/>
    <w:tmpl w:val="FB2420AA"/>
    <w:lvl w:ilvl="0">
      <w:start w:val="1"/>
      <w:numFmt w:val="bullet"/>
      <w:lvlText w:val=""/>
      <w:lvlJc w:val="left"/>
      <w:pPr>
        <w:ind w:left="1134" w:hanging="283"/>
      </w:pPr>
      <w:rPr>
        <w:rFonts w:ascii="Symbol" w:hAnsi="Symbol"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850"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242874"/>
    <w:multiLevelType w:val="hybridMultilevel"/>
    <w:tmpl w:val="0090D8E8"/>
    <w:lvl w:ilvl="0" w:tplc="DE44621C">
      <w:start w:val="1"/>
      <w:numFmt w:val="lowerRoman"/>
      <w:lvlText w:val="%1."/>
      <w:lvlJc w:val="right"/>
      <w:pPr>
        <w:ind w:left="851"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41FEE"/>
    <w:multiLevelType w:val="multilevel"/>
    <w:tmpl w:val="2D742C3A"/>
    <w:lvl w:ilvl="0">
      <w:start w:val="1"/>
      <w:numFmt w:val="decimal"/>
      <w:pStyle w:val="Heading1"/>
      <w:lvlText w:val="%1"/>
      <w:lvlJc w:val="left"/>
      <w:pPr>
        <w:ind w:left="432" w:hanging="432"/>
      </w:pPr>
      <w:rPr>
        <w:rFonts w:hint="default"/>
        <w:b w:val="0"/>
        <w:bCs w:val="0"/>
      </w:rPr>
    </w:lvl>
    <w:lvl w:ilvl="1">
      <w:start w:val="1"/>
      <w:numFmt w:val="decimal"/>
      <w:pStyle w:val="Heading2"/>
      <w:lvlText w:val="%1.%2"/>
      <w:lvlJc w:val="left"/>
      <w:pPr>
        <w:ind w:left="718" w:hanging="576"/>
      </w:pPr>
      <w:rPr>
        <w:rFonts w:hint="default"/>
        <w:b w:val="0"/>
        <w:bCs w:val="0"/>
        <w:sz w:val="24"/>
        <w:szCs w:val="24"/>
      </w:rPr>
    </w:lvl>
    <w:lvl w:ilvl="2">
      <w:start w:val="1"/>
      <w:numFmt w:val="decimal"/>
      <w:pStyle w:val="Heading3"/>
      <w:lvlText w:val="%1.%2.%3"/>
      <w:lvlJc w:val="left"/>
      <w:pPr>
        <w:ind w:left="1134" w:hanging="284"/>
      </w:pPr>
      <w:rPr>
        <w:strike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7D879DE"/>
    <w:multiLevelType w:val="hybridMultilevel"/>
    <w:tmpl w:val="02C0F71C"/>
    <w:lvl w:ilvl="0" w:tplc="4C3AD14A">
      <w:start w:val="1"/>
      <w:numFmt w:val="bullet"/>
      <w:lvlText w:val=""/>
      <w:lvlJc w:val="left"/>
      <w:pPr>
        <w:ind w:left="1134" w:hanging="283"/>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399089314">
    <w:abstractNumId w:val="10"/>
  </w:num>
  <w:num w:numId="2" w16cid:durableId="370810139">
    <w:abstractNumId w:val="5"/>
  </w:num>
  <w:num w:numId="3" w16cid:durableId="666596051">
    <w:abstractNumId w:val="4"/>
  </w:num>
  <w:num w:numId="4" w16cid:durableId="628170482">
    <w:abstractNumId w:val="9"/>
  </w:num>
  <w:num w:numId="5" w16cid:durableId="1252544603">
    <w:abstractNumId w:val="11"/>
  </w:num>
  <w:num w:numId="6" w16cid:durableId="1893229861">
    <w:abstractNumId w:val="1"/>
  </w:num>
  <w:num w:numId="7" w16cid:durableId="1828134891">
    <w:abstractNumId w:val="7"/>
  </w:num>
  <w:num w:numId="8" w16cid:durableId="905453633">
    <w:abstractNumId w:val="6"/>
  </w:num>
  <w:num w:numId="9" w16cid:durableId="1188058440">
    <w:abstractNumId w:val="0"/>
  </w:num>
  <w:num w:numId="10" w16cid:durableId="1458598242">
    <w:abstractNumId w:val="2"/>
  </w:num>
  <w:num w:numId="11" w16cid:durableId="96095994">
    <w:abstractNumId w:val="3"/>
  </w:num>
  <w:num w:numId="12" w16cid:durableId="81606967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4588"/>
    <w:rsid w:val="000049B1"/>
    <w:rsid w:val="00007ADB"/>
    <w:rsid w:val="00014E94"/>
    <w:rsid w:val="00015CC3"/>
    <w:rsid w:val="00023AAD"/>
    <w:rsid w:val="00023DAB"/>
    <w:rsid w:val="00034C64"/>
    <w:rsid w:val="00036DA0"/>
    <w:rsid w:val="000423C2"/>
    <w:rsid w:val="00043261"/>
    <w:rsid w:val="000574AC"/>
    <w:rsid w:val="00060DB4"/>
    <w:rsid w:val="00062E7D"/>
    <w:rsid w:val="00062EA7"/>
    <w:rsid w:val="00067966"/>
    <w:rsid w:val="00075BBB"/>
    <w:rsid w:val="00083C7E"/>
    <w:rsid w:val="00084894"/>
    <w:rsid w:val="00090697"/>
    <w:rsid w:val="0009267B"/>
    <w:rsid w:val="00093139"/>
    <w:rsid w:val="0009597B"/>
    <w:rsid w:val="00096435"/>
    <w:rsid w:val="000A2981"/>
    <w:rsid w:val="000B4C6E"/>
    <w:rsid w:val="000B51B6"/>
    <w:rsid w:val="000B76B4"/>
    <w:rsid w:val="000C2014"/>
    <w:rsid w:val="000D0B2C"/>
    <w:rsid w:val="000D23F4"/>
    <w:rsid w:val="000D3EF5"/>
    <w:rsid w:val="000D5F3A"/>
    <w:rsid w:val="000E3FE3"/>
    <w:rsid w:val="000E44BE"/>
    <w:rsid w:val="000F0838"/>
    <w:rsid w:val="000F13D6"/>
    <w:rsid w:val="000F2B8C"/>
    <w:rsid w:val="000F3FF4"/>
    <w:rsid w:val="00113CFE"/>
    <w:rsid w:val="00121F93"/>
    <w:rsid w:val="0012564B"/>
    <w:rsid w:val="00130BA3"/>
    <w:rsid w:val="0013304E"/>
    <w:rsid w:val="0013607D"/>
    <w:rsid w:val="001367FE"/>
    <w:rsid w:val="001420C5"/>
    <w:rsid w:val="0015225C"/>
    <w:rsid w:val="00153C9C"/>
    <w:rsid w:val="00161EDB"/>
    <w:rsid w:val="00167898"/>
    <w:rsid w:val="0017022B"/>
    <w:rsid w:val="00171DDB"/>
    <w:rsid w:val="0017278E"/>
    <w:rsid w:val="00174240"/>
    <w:rsid w:val="00176A6B"/>
    <w:rsid w:val="00184EA2"/>
    <w:rsid w:val="00187AD2"/>
    <w:rsid w:val="0019090D"/>
    <w:rsid w:val="00192862"/>
    <w:rsid w:val="0019706A"/>
    <w:rsid w:val="001A52A7"/>
    <w:rsid w:val="001A7F68"/>
    <w:rsid w:val="001B23F2"/>
    <w:rsid w:val="001B5144"/>
    <w:rsid w:val="001B55A0"/>
    <w:rsid w:val="001B6874"/>
    <w:rsid w:val="001C0E14"/>
    <w:rsid w:val="001C1C37"/>
    <w:rsid w:val="001C1DF2"/>
    <w:rsid w:val="001C33EE"/>
    <w:rsid w:val="001D589B"/>
    <w:rsid w:val="001D610B"/>
    <w:rsid w:val="001E135E"/>
    <w:rsid w:val="001E196D"/>
    <w:rsid w:val="001E54DD"/>
    <w:rsid w:val="001F1F80"/>
    <w:rsid w:val="001F304E"/>
    <w:rsid w:val="001F601C"/>
    <w:rsid w:val="001F7A4B"/>
    <w:rsid w:val="00202BC8"/>
    <w:rsid w:val="002052EB"/>
    <w:rsid w:val="00214844"/>
    <w:rsid w:val="00215570"/>
    <w:rsid w:val="002236F6"/>
    <w:rsid w:val="002276E3"/>
    <w:rsid w:val="00231D66"/>
    <w:rsid w:val="0023401E"/>
    <w:rsid w:val="00252B2C"/>
    <w:rsid w:val="0025469B"/>
    <w:rsid w:val="00260329"/>
    <w:rsid w:val="00261178"/>
    <w:rsid w:val="00261D6E"/>
    <w:rsid w:val="00263057"/>
    <w:rsid w:val="00265589"/>
    <w:rsid w:val="00273EB6"/>
    <w:rsid w:val="00276D78"/>
    <w:rsid w:val="002A06E6"/>
    <w:rsid w:val="002B203B"/>
    <w:rsid w:val="002B4FAF"/>
    <w:rsid w:val="002C037B"/>
    <w:rsid w:val="002C4A30"/>
    <w:rsid w:val="002D7302"/>
    <w:rsid w:val="002D7C41"/>
    <w:rsid w:val="002E5479"/>
    <w:rsid w:val="002F13EB"/>
    <w:rsid w:val="002F3926"/>
    <w:rsid w:val="002F3B5B"/>
    <w:rsid w:val="00300099"/>
    <w:rsid w:val="00300BF9"/>
    <w:rsid w:val="00302CC3"/>
    <w:rsid w:val="00306419"/>
    <w:rsid w:val="00310A76"/>
    <w:rsid w:val="00311353"/>
    <w:rsid w:val="00311D3E"/>
    <w:rsid w:val="0031265C"/>
    <w:rsid w:val="003174F7"/>
    <w:rsid w:val="003205F6"/>
    <w:rsid w:val="0032264E"/>
    <w:rsid w:val="003267DE"/>
    <w:rsid w:val="00334787"/>
    <w:rsid w:val="0033736A"/>
    <w:rsid w:val="003400F0"/>
    <w:rsid w:val="003460D0"/>
    <w:rsid w:val="00351D20"/>
    <w:rsid w:val="003526E4"/>
    <w:rsid w:val="00360D5D"/>
    <w:rsid w:val="0036176B"/>
    <w:rsid w:val="00365235"/>
    <w:rsid w:val="00365819"/>
    <w:rsid w:val="003661DE"/>
    <w:rsid w:val="00367FE6"/>
    <w:rsid w:val="003733B3"/>
    <w:rsid w:val="003751DB"/>
    <w:rsid w:val="00376449"/>
    <w:rsid w:val="00382171"/>
    <w:rsid w:val="0038794A"/>
    <w:rsid w:val="003968E9"/>
    <w:rsid w:val="003A61E4"/>
    <w:rsid w:val="003A6E07"/>
    <w:rsid w:val="003A728E"/>
    <w:rsid w:val="003A7850"/>
    <w:rsid w:val="003B0CD4"/>
    <w:rsid w:val="003B2DEA"/>
    <w:rsid w:val="003C2126"/>
    <w:rsid w:val="003C2406"/>
    <w:rsid w:val="003D36FA"/>
    <w:rsid w:val="003D4977"/>
    <w:rsid w:val="003D7B87"/>
    <w:rsid w:val="003E6D68"/>
    <w:rsid w:val="003F3984"/>
    <w:rsid w:val="003F50AE"/>
    <w:rsid w:val="0040032F"/>
    <w:rsid w:val="004003B1"/>
    <w:rsid w:val="00406B6E"/>
    <w:rsid w:val="00417B81"/>
    <w:rsid w:val="00420C80"/>
    <w:rsid w:val="00424E11"/>
    <w:rsid w:val="0043744C"/>
    <w:rsid w:val="00450757"/>
    <w:rsid w:val="00451DBD"/>
    <w:rsid w:val="00454793"/>
    <w:rsid w:val="004618C7"/>
    <w:rsid w:val="004734A0"/>
    <w:rsid w:val="00473C92"/>
    <w:rsid w:val="00494EBD"/>
    <w:rsid w:val="004A0911"/>
    <w:rsid w:val="004A2315"/>
    <w:rsid w:val="004A4C71"/>
    <w:rsid w:val="004B20D0"/>
    <w:rsid w:val="004B2DDC"/>
    <w:rsid w:val="004B3CB1"/>
    <w:rsid w:val="004D3778"/>
    <w:rsid w:val="004E224D"/>
    <w:rsid w:val="004E6F06"/>
    <w:rsid w:val="004F2265"/>
    <w:rsid w:val="004F3D8E"/>
    <w:rsid w:val="004F3E35"/>
    <w:rsid w:val="004F3F03"/>
    <w:rsid w:val="004F3F20"/>
    <w:rsid w:val="004F715F"/>
    <w:rsid w:val="005005F9"/>
    <w:rsid w:val="005035F0"/>
    <w:rsid w:val="005047A7"/>
    <w:rsid w:val="00516755"/>
    <w:rsid w:val="00520551"/>
    <w:rsid w:val="00530933"/>
    <w:rsid w:val="00530F92"/>
    <w:rsid w:val="00531470"/>
    <w:rsid w:val="00537AEA"/>
    <w:rsid w:val="00542772"/>
    <w:rsid w:val="0054343B"/>
    <w:rsid w:val="00547CB1"/>
    <w:rsid w:val="0055051B"/>
    <w:rsid w:val="00552547"/>
    <w:rsid w:val="005549F8"/>
    <w:rsid w:val="00563EAE"/>
    <w:rsid w:val="0056661F"/>
    <w:rsid w:val="005756F6"/>
    <w:rsid w:val="0058261B"/>
    <w:rsid w:val="00586143"/>
    <w:rsid w:val="00592F10"/>
    <w:rsid w:val="00594A7A"/>
    <w:rsid w:val="005A191A"/>
    <w:rsid w:val="005A3DC0"/>
    <w:rsid w:val="005A5AD5"/>
    <w:rsid w:val="005B2CB4"/>
    <w:rsid w:val="005B395E"/>
    <w:rsid w:val="005C1172"/>
    <w:rsid w:val="005C1286"/>
    <w:rsid w:val="005C190B"/>
    <w:rsid w:val="005C6410"/>
    <w:rsid w:val="005C6D0E"/>
    <w:rsid w:val="005C7592"/>
    <w:rsid w:val="005D0B18"/>
    <w:rsid w:val="005D3DFB"/>
    <w:rsid w:val="005D465C"/>
    <w:rsid w:val="005D7842"/>
    <w:rsid w:val="005E085B"/>
    <w:rsid w:val="005E4C6C"/>
    <w:rsid w:val="005E6720"/>
    <w:rsid w:val="005F4CA2"/>
    <w:rsid w:val="005F623F"/>
    <w:rsid w:val="0060088D"/>
    <w:rsid w:val="0060097D"/>
    <w:rsid w:val="006069FA"/>
    <w:rsid w:val="00606CE3"/>
    <w:rsid w:val="00620FF2"/>
    <w:rsid w:val="00622559"/>
    <w:rsid w:val="006225B2"/>
    <w:rsid w:val="00626A0E"/>
    <w:rsid w:val="006272A0"/>
    <w:rsid w:val="00630AEC"/>
    <w:rsid w:val="00632031"/>
    <w:rsid w:val="00635F7C"/>
    <w:rsid w:val="006366FB"/>
    <w:rsid w:val="00637040"/>
    <w:rsid w:val="006377CE"/>
    <w:rsid w:val="006403CA"/>
    <w:rsid w:val="00645C47"/>
    <w:rsid w:val="00652759"/>
    <w:rsid w:val="00657545"/>
    <w:rsid w:val="00657C69"/>
    <w:rsid w:val="00662190"/>
    <w:rsid w:val="00662941"/>
    <w:rsid w:val="006649BD"/>
    <w:rsid w:val="0066775F"/>
    <w:rsid w:val="00675991"/>
    <w:rsid w:val="00684ACE"/>
    <w:rsid w:val="00685894"/>
    <w:rsid w:val="00686B34"/>
    <w:rsid w:val="00690F51"/>
    <w:rsid w:val="00691004"/>
    <w:rsid w:val="0069556D"/>
    <w:rsid w:val="00697DFA"/>
    <w:rsid w:val="006A0052"/>
    <w:rsid w:val="006A3F46"/>
    <w:rsid w:val="006A4FE6"/>
    <w:rsid w:val="006A6510"/>
    <w:rsid w:val="006B33D7"/>
    <w:rsid w:val="006D6498"/>
    <w:rsid w:val="006D6744"/>
    <w:rsid w:val="006E381B"/>
    <w:rsid w:val="006F0CFD"/>
    <w:rsid w:val="00700188"/>
    <w:rsid w:val="0071039C"/>
    <w:rsid w:val="00714650"/>
    <w:rsid w:val="007150F4"/>
    <w:rsid w:val="00722FD5"/>
    <w:rsid w:val="00734A37"/>
    <w:rsid w:val="00734D37"/>
    <w:rsid w:val="00741AD9"/>
    <w:rsid w:val="007439A0"/>
    <w:rsid w:val="00746BCA"/>
    <w:rsid w:val="00765264"/>
    <w:rsid w:val="007678AA"/>
    <w:rsid w:val="0077217C"/>
    <w:rsid w:val="00776FE4"/>
    <w:rsid w:val="0078661D"/>
    <w:rsid w:val="00790226"/>
    <w:rsid w:val="007905E2"/>
    <w:rsid w:val="007A04C1"/>
    <w:rsid w:val="007A0E66"/>
    <w:rsid w:val="007A25D9"/>
    <w:rsid w:val="007A3F34"/>
    <w:rsid w:val="007A6C0F"/>
    <w:rsid w:val="007B085C"/>
    <w:rsid w:val="007C5033"/>
    <w:rsid w:val="007D22FE"/>
    <w:rsid w:val="007D45FF"/>
    <w:rsid w:val="007D6628"/>
    <w:rsid w:val="007F2587"/>
    <w:rsid w:val="007F447E"/>
    <w:rsid w:val="00803D56"/>
    <w:rsid w:val="00807EC4"/>
    <w:rsid w:val="00815A26"/>
    <w:rsid w:val="00821932"/>
    <w:rsid w:val="00824DDD"/>
    <w:rsid w:val="00825444"/>
    <w:rsid w:val="00830864"/>
    <w:rsid w:val="0083169B"/>
    <w:rsid w:val="008365E7"/>
    <w:rsid w:val="00842893"/>
    <w:rsid w:val="00844206"/>
    <w:rsid w:val="008467C2"/>
    <w:rsid w:val="00850B35"/>
    <w:rsid w:val="00854E81"/>
    <w:rsid w:val="008569CD"/>
    <w:rsid w:val="008627B3"/>
    <w:rsid w:val="00862D95"/>
    <w:rsid w:val="00866360"/>
    <w:rsid w:val="008678DD"/>
    <w:rsid w:val="008741DB"/>
    <w:rsid w:val="00884AF5"/>
    <w:rsid w:val="0088599E"/>
    <w:rsid w:val="00890F99"/>
    <w:rsid w:val="00894295"/>
    <w:rsid w:val="00894580"/>
    <w:rsid w:val="0089534C"/>
    <w:rsid w:val="00896D5D"/>
    <w:rsid w:val="00897EFE"/>
    <w:rsid w:val="008A0E00"/>
    <w:rsid w:val="008A5EE6"/>
    <w:rsid w:val="008A654E"/>
    <w:rsid w:val="008B18D6"/>
    <w:rsid w:val="008C551C"/>
    <w:rsid w:val="008C69EC"/>
    <w:rsid w:val="008D23D2"/>
    <w:rsid w:val="008D5019"/>
    <w:rsid w:val="008E25DC"/>
    <w:rsid w:val="008E3C11"/>
    <w:rsid w:val="008F0BDF"/>
    <w:rsid w:val="008F16E3"/>
    <w:rsid w:val="008F338A"/>
    <w:rsid w:val="008F74C3"/>
    <w:rsid w:val="008F75F8"/>
    <w:rsid w:val="00905E84"/>
    <w:rsid w:val="00930059"/>
    <w:rsid w:val="00934618"/>
    <w:rsid w:val="009359B4"/>
    <w:rsid w:val="00935A1B"/>
    <w:rsid w:val="0093788B"/>
    <w:rsid w:val="00941915"/>
    <w:rsid w:val="00945CC4"/>
    <w:rsid w:val="00946278"/>
    <w:rsid w:val="00952ED2"/>
    <w:rsid w:val="00963ACC"/>
    <w:rsid w:val="00971EA6"/>
    <w:rsid w:val="00973B36"/>
    <w:rsid w:val="00973C73"/>
    <w:rsid w:val="009762E3"/>
    <w:rsid w:val="00977709"/>
    <w:rsid w:val="0098001E"/>
    <w:rsid w:val="00983FFC"/>
    <w:rsid w:val="0098400A"/>
    <w:rsid w:val="00993BF9"/>
    <w:rsid w:val="00994631"/>
    <w:rsid w:val="009A3197"/>
    <w:rsid w:val="009A3418"/>
    <w:rsid w:val="009C2331"/>
    <w:rsid w:val="009C24C9"/>
    <w:rsid w:val="009C26A5"/>
    <w:rsid w:val="009C7B96"/>
    <w:rsid w:val="009D2881"/>
    <w:rsid w:val="009D3337"/>
    <w:rsid w:val="009D4EF7"/>
    <w:rsid w:val="009D7499"/>
    <w:rsid w:val="009D7FB7"/>
    <w:rsid w:val="009E4373"/>
    <w:rsid w:val="009E4CBE"/>
    <w:rsid w:val="009E579E"/>
    <w:rsid w:val="009F0685"/>
    <w:rsid w:val="00A0000D"/>
    <w:rsid w:val="00A04CC5"/>
    <w:rsid w:val="00A05E79"/>
    <w:rsid w:val="00A06B27"/>
    <w:rsid w:val="00A10647"/>
    <w:rsid w:val="00A11B30"/>
    <w:rsid w:val="00A11DD3"/>
    <w:rsid w:val="00A13D1B"/>
    <w:rsid w:val="00A15B35"/>
    <w:rsid w:val="00A17065"/>
    <w:rsid w:val="00A338EC"/>
    <w:rsid w:val="00A36733"/>
    <w:rsid w:val="00A404FD"/>
    <w:rsid w:val="00A4362B"/>
    <w:rsid w:val="00A640A2"/>
    <w:rsid w:val="00A7691F"/>
    <w:rsid w:val="00A92DD8"/>
    <w:rsid w:val="00A976DF"/>
    <w:rsid w:val="00AA4996"/>
    <w:rsid w:val="00AA55DD"/>
    <w:rsid w:val="00AB4DED"/>
    <w:rsid w:val="00AB6E9E"/>
    <w:rsid w:val="00AB787C"/>
    <w:rsid w:val="00AC1A90"/>
    <w:rsid w:val="00AC2EA5"/>
    <w:rsid w:val="00AD1CA8"/>
    <w:rsid w:val="00AD6592"/>
    <w:rsid w:val="00AD7E11"/>
    <w:rsid w:val="00AE1A1C"/>
    <w:rsid w:val="00AE3499"/>
    <w:rsid w:val="00AE3A65"/>
    <w:rsid w:val="00AE3CDB"/>
    <w:rsid w:val="00AE6583"/>
    <w:rsid w:val="00AE7144"/>
    <w:rsid w:val="00AE7CC3"/>
    <w:rsid w:val="00AF0510"/>
    <w:rsid w:val="00AF3DBE"/>
    <w:rsid w:val="00AF644B"/>
    <w:rsid w:val="00B01358"/>
    <w:rsid w:val="00B04A83"/>
    <w:rsid w:val="00B05A36"/>
    <w:rsid w:val="00B0766D"/>
    <w:rsid w:val="00B1455D"/>
    <w:rsid w:val="00B3073E"/>
    <w:rsid w:val="00B3211A"/>
    <w:rsid w:val="00B35DD1"/>
    <w:rsid w:val="00B36065"/>
    <w:rsid w:val="00B36605"/>
    <w:rsid w:val="00B528ED"/>
    <w:rsid w:val="00B54D4D"/>
    <w:rsid w:val="00B55504"/>
    <w:rsid w:val="00B6307B"/>
    <w:rsid w:val="00B65212"/>
    <w:rsid w:val="00B719FC"/>
    <w:rsid w:val="00B75892"/>
    <w:rsid w:val="00B82F2B"/>
    <w:rsid w:val="00B835C2"/>
    <w:rsid w:val="00B838D2"/>
    <w:rsid w:val="00B841A3"/>
    <w:rsid w:val="00B86E39"/>
    <w:rsid w:val="00B91601"/>
    <w:rsid w:val="00BA6C69"/>
    <w:rsid w:val="00BB192A"/>
    <w:rsid w:val="00BB3F41"/>
    <w:rsid w:val="00BB562C"/>
    <w:rsid w:val="00BB74FF"/>
    <w:rsid w:val="00BB7770"/>
    <w:rsid w:val="00BC059E"/>
    <w:rsid w:val="00BC134B"/>
    <w:rsid w:val="00BC41D5"/>
    <w:rsid w:val="00BC54A8"/>
    <w:rsid w:val="00BC77B0"/>
    <w:rsid w:val="00BD0B94"/>
    <w:rsid w:val="00BD6B2E"/>
    <w:rsid w:val="00BD7DF0"/>
    <w:rsid w:val="00BE06B9"/>
    <w:rsid w:val="00BE206E"/>
    <w:rsid w:val="00BF028D"/>
    <w:rsid w:val="00C033B2"/>
    <w:rsid w:val="00C05B84"/>
    <w:rsid w:val="00C07B20"/>
    <w:rsid w:val="00C101A0"/>
    <w:rsid w:val="00C21E02"/>
    <w:rsid w:val="00C24D8F"/>
    <w:rsid w:val="00C2790E"/>
    <w:rsid w:val="00C30F00"/>
    <w:rsid w:val="00C3235F"/>
    <w:rsid w:val="00C341BE"/>
    <w:rsid w:val="00C364F7"/>
    <w:rsid w:val="00C41292"/>
    <w:rsid w:val="00C71E31"/>
    <w:rsid w:val="00C757AA"/>
    <w:rsid w:val="00C8405F"/>
    <w:rsid w:val="00C90622"/>
    <w:rsid w:val="00C92648"/>
    <w:rsid w:val="00C93A7E"/>
    <w:rsid w:val="00CA0A41"/>
    <w:rsid w:val="00CA1500"/>
    <w:rsid w:val="00CA6EDB"/>
    <w:rsid w:val="00CB137C"/>
    <w:rsid w:val="00CB1F64"/>
    <w:rsid w:val="00CB2623"/>
    <w:rsid w:val="00CB4430"/>
    <w:rsid w:val="00CB5D44"/>
    <w:rsid w:val="00CC0F5C"/>
    <w:rsid w:val="00CC18B7"/>
    <w:rsid w:val="00CC6FF4"/>
    <w:rsid w:val="00CD4308"/>
    <w:rsid w:val="00CD441C"/>
    <w:rsid w:val="00CD582A"/>
    <w:rsid w:val="00CD5FF3"/>
    <w:rsid w:val="00CE47D3"/>
    <w:rsid w:val="00CE57F7"/>
    <w:rsid w:val="00CE608D"/>
    <w:rsid w:val="00CF1434"/>
    <w:rsid w:val="00CF27AF"/>
    <w:rsid w:val="00D062AF"/>
    <w:rsid w:val="00D20880"/>
    <w:rsid w:val="00D339BE"/>
    <w:rsid w:val="00D344B4"/>
    <w:rsid w:val="00D37862"/>
    <w:rsid w:val="00D46E50"/>
    <w:rsid w:val="00D52783"/>
    <w:rsid w:val="00D52B06"/>
    <w:rsid w:val="00D54641"/>
    <w:rsid w:val="00D5591B"/>
    <w:rsid w:val="00D60D8B"/>
    <w:rsid w:val="00D62D2D"/>
    <w:rsid w:val="00D66A96"/>
    <w:rsid w:val="00D73BB1"/>
    <w:rsid w:val="00D80057"/>
    <w:rsid w:val="00D802E7"/>
    <w:rsid w:val="00D9301C"/>
    <w:rsid w:val="00D938E3"/>
    <w:rsid w:val="00D947D6"/>
    <w:rsid w:val="00D973DB"/>
    <w:rsid w:val="00D97F28"/>
    <w:rsid w:val="00DA05EE"/>
    <w:rsid w:val="00DB67C0"/>
    <w:rsid w:val="00DC288A"/>
    <w:rsid w:val="00DD0829"/>
    <w:rsid w:val="00DD4A31"/>
    <w:rsid w:val="00DD4A6E"/>
    <w:rsid w:val="00DE4000"/>
    <w:rsid w:val="00DE60F9"/>
    <w:rsid w:val="00DF1C8E"/>
    <w:rsid w:val="00DF707B"/>
    <w:rsid w:val="00E00A62"/>
    <w:rsid w:val="00E11270"/>
    <w:rsid w:val="00E11F27"/>
    <w:rsid w:val="00E13FF2"/>
    <w:rsid w:val="00E1488C"/>
    <w:rsid w:val="00E17360"/>
    <w:rsid w:val="00E212A3"/>
    <w:rsid w:val="00E23351"/>
    <w:rsid w:val="00E3668E"/>
    <w:rsid w:val="00E374E4"/>
    <w:rsid w:val="00E4031A"/>
    <w:rsid w:val="00E426A8"/>
    <w:rsid w:val="00E51F44"/>
    <w:rsid w:val="00E51FF2"/>
    <w:rsid w:val="00E53462"/>
    <w:rsid w:val="00E6238F"/>
    <w:rsid w:val="00E62C64"/>
    <w:rsid w:val="00E65A44"/>
    <w:rsid w:val="00E70873"/>
    <w:rsid w:val="00E732EE"/>
    <w:rsid w:val="00E734C7"/>
    <w:rsid w:val="00E84FDC"/>
    <w:rsid w:val="00E90490"/>
    <w:rsid w:val="00E91290"/>
    <w:rsid w:val="00EA69F4"/>
    <w:rsid w:val="00EC2C8F"/>
    <w:rsid w:val="00ED02EC"/>
    <w:rsid w:val="00ED1374"/>
    <w:rsid w:val="00ED184E"/>
    <w:rsid w:val="00ED19B1"/>
    <w:rsid w:val="00ED19D8"/>
    <w:rsid w:val="00ED26E0"/>
    <w:rsid w:val="00ED5B05"/>
    <w:rsid w:val="00ED6897"/>
    <w:rsid w:val="00EE23DF"/>
    <w:rsid w:val="00EE3CF4"/>
    <w:rsid w:val="00EE4A9B"/>
    <w:rsid w:val="00EE5853"/>
    <w:rsid w:val="00EF139C"/>
    <w:rsid w:val="00EF64A5"/>
    <w:rsid w:val="00EF69B5"/>
    <w:rsid w:val="00F000D3"/>
    <w:rsid w:val="00F01311"/>
    <w:rsid w:val="00F037FE"/>
    <w:rsid w:val="00F04571"/>
    <w:rsid w:val="00F04975"/>
    <w:rsid w:val="00F05C73"/>
    <w:rsid w:val="00F06A8A"/>
    <w:rsid w:val="00F07112"/>
    <w:rsid w:val="00F20D28"/>
    <w:rsid w:val="00F23B6A"/>
    <w:rsid w:val="00F25457"/>
    <w:rsid w:val="00F26A87"/>
    <w:rsid w:val="00F30920"/>
    <w:rsid w:val="00F314A6"/>
    <w:rsid w:val="00F31A84"/>
    <w:rsid w:val="00F415A1"/>
    <w:rsid w:val="00F42D94"/>
    <w:rsid w:val="00F43DA9"/>
    <w:rsid w:val="00F5077D"/>
    <w:rsid w:val="00F50A2B"/>
    <w:rsid w:val="00F5243C"/>
    <w:rsid w:val="00F53A04"/>
    <w:rsid w:val="00F559DB"/>
    <w:rsid w:val="00F62C1E"/>
    <w:rsid w:val="00F74ABA"/>
    <w:rsid w:val="00F77E1A"/>
    <w:rsid w:val="00F84635"/>
    <w:rsid w:val="00F853D8"/>
    <w:rsid w:val="00F85F1A"/>
    <w:rsid w:val="00F87FDB"/>
    <w:rsid w:val="00F90710"/>
    <w:rsid w:val="00F96898"/>
    <w:rsid w:val="00FA30DC"/>
    <w:rsid w:val="00FB33ED"/>
    <w:rsid w:val="00FB5953"/>
    <w:rsid w:val="00FB6931"/>
    <w:rsid w:val="00FB6FB8"/>
    <w:rsid w:val="00FC1000"/>
    <w:rsid w:val="00FC234A"/>
    <w:rsid w:val="00FC47E2"/>
    <w:rsid w:val="00FC6E7A"/>
    <w:rsid w:val="00FD4AE4"/>
    <w:rsid w:val="00FE0E16"/>
    <w:rsid w:val="00FE1860"/>
    <w:rsid w:val="00FE2C3C"/>
    <w:rsid w:val="00FE3B62"/>
    <w:rsid w:val="00FF169F"/>
    <w:rsid w:val="00FF1826"/>
    <w:rsid w:val="010477FF"/>
    <w:rsid w:val="01D7688E"/>
    <w:rsid w:val="01EAA347"/>
    <w:rsid w:val="01F13CC9"/>
    <w:rsid w:val="024EBD7E"/>
    <w:rsid w:val="025FBF17"/>
    <w:rsid w:val="02780565"/>
    <w:rsid w:val="02894137"/>
    <w:rsid w:val="02BA7A27"/>
    <w:rsid w:val="03A2AA62"/>
    <w:rsid w:val="03C6D2F6"/>
    <w:rsid w:val="0407E696"/>
    <w:rsid w:val="040B327B"/>
    <w:rsid w:val="0423BBE2"/>
    <w:rsid w:val="04AA149B"/>
    <w:rsid w:val="04F12845"/>
    <w:rsid w:val="05577879"/>
    <w:rsid w:val="0598C42B"/>
    <w:rsid w:val="05AB0F58"/>
    <w:rsid w:val="05F7FFB8"/>
    <w:rsid w:val="05FE62DD"/>
    <w:rsid w:val="06439657"/>
    <w:rsid w:val="0646019A"/>
    <w:rsid w:val="06541677"/>
    <w:rsid w:val="065F848D"/>
    <w:rsid w:val="06C02E49"/>
    <w:rsid w:val="06C29D1B"/>
    <w:rsid w:val="06D449D7"/>
    <w:rsid w:val="06F89514"/>
    <w:rsid w:val="07159A81"/>
    <w:rsid w:val="0786C242"/>
    <w:rsid w:val="07FF1A96"/>
    <w:rsid w:val="084E4539"/>
    <w:rsid w:val="08F82B4B"/>
    <w:rsid w:val="095E8A3A"/>
    <w:rsid w:val="096296DC"/>
    <w:rsid w:val="0979927E"/>
    <w:rsid w:val="0A22F011"/>
    <w:rsid w:val="0A3C501D"/>
    <w:rsid w:val="0A84E55F"/>
    <w:rsid w:val="0B177FF1"/>
    <w:rsid w:val="0B4CD0D0"/>
    <w:rsid w:val="0B7AE9B3"/>
    <w:rsid w:val="0BA998CE"/>
    <w:rsid w:val="0BC82239"/>
    <w:rsid w:val="0C2AD4FF"/>
    <w:rsid w:val="0C47E7EB"/>
    <w:rsid w:val="0CF866AC"/>
    <w:rsid w:val="0D36953B"/>
    <w:rsid w:val="0DB80E9D"/>
    <w:rsid w:val="0E38B294"/>
    <w:rsid w:val="0E6B894B"/>
    <w:rsid w:val="0E99D61C"/>
    <w:rsid w:val="0E9BF6FA"/>
    <w:rsid w:val="0F326590"/>
    <w:rsid w:val="0F467C90"/>
    <w:rsid w:val="0F6BA8FB"/>
    <w:rsid w:val="0FD69301"/>
    <w:rsid w:val="102B8599"/>
    <w:rsid w:val="1092B2F8"/>
    <w:rsid w:val="10F192D9"/>
    <w:rsid w:val="112593F4"/>
    <w:rsid w:val="122978E8"/>
    <w:rsid w:val="123D52B4"/>
    <w:rsid w:val="12675A8A"/>
    <w:rsid w:val="12AA87B3"/>
    <w:rsid w:val="12C13318"/>
    <w:rsid w:val="1320A2A2"/>
    <w:rsid w:val="133B0F70"/>
    <w:rsid w:val="136393E9"/>
    <w:rsid w:val="14362ECB"/>
    <w:rsid w:val="14771856"/>
    <w:rsid w:val="1489C144"/>
    <w:rsid w:val="14E47F1A"/>
    <w:rsid w:val="152809A7"/>
    <w:rsid w:val="1569DC6C"/>
    <w:rsid w:val="15D6FCE7"/>
    <w:rsid w:val="15E3BA18"/>
    <w:rsid w:val="15EC242F"/>
    <w:rsid w:val="168A0218"/>
    <w:rsid w:val="16C54E5D"/>
    <w:rsid w:val="16EA8F10"/>
    <w:rsid w:val="171ED2B1"/>
    <w:rsid w:val="17392358"/>
    <w:rsid w:val="17C04162"/>
    <w:rsid w:val="17ECE7E1"/>
    <w:rsid w:val="18190A33"/>
    <w:rsid w:val="184A2176"/>
    <w:rsid w:val="1872ED3E"/>
    <w:rsid w:val="1889BB73"/>
    <w:rsid w:val="18BF6530"/>
    <w:rsid w:val="18C0962A"/>
    <w:rsid w:val="1980A4BB"/>
    <w:rsid w:val="1993A0E7"/>
    <w:rsid w:val="19B3FDBB"/>
    <w:rsid w:val="1A3C6A9E"/>
    <w:rsid w:val="1A4F329D"/>
    <w:rsid w:val="1A764FBC"/>
    <w:rsid w:val="1A9672E8"/>
    <w:rsid w:val="1B0EC779"/>
    <w:rsid w:val="1B24E6BB"/>
    <w:rsid w:val="1B368405"/>
    <w:rsid w:val="1B9A70A7"/>
    <w:rsid w:val="1BC23524"/>
    <w:rsid w:val="1C64D204"/>
    <w:rsid w:val="1C6C0FFC"/>
    <w:rsid w:val="1C7C61E7"/>
    <w:rsid w:val="1C7DC991"/>
    <w:rsid w:val="1C9CA53F"/>
    <w:rsid w:val="1CA6EDB9"/>
    <w:rsid w:val="1CC4707F"/>
    <w:rsid w:val="1D34346D"/>
    <w:rsid w:val="1DE2D235"/>
    <w:rsid w:val="1DFE6CAC"/>
    <w:rsid w:val="1DFFA2D7"/>
    <w:rsid w:val="1E8BA14F"/>
    <w:rsid w:val="1E9F873C"/>
    <w:rsid w:val="1EFC028E"/>
    <w:rsid w:val="1F125BF3"/>
    <w:rsid w:val="1F436346"/>
    <w:rsid w:val="1F9CC9F0"/>
    <w:rsid w:val="1FF1C691"/>
    <w:rsid w:val="2022204D"/>
    <w:rsid w:val="202D31FB"/>
    <w:rsid w:val="2041012C"/>
    <w:rsid w:val="2048F299"/>
    <w:rsid w:val="204AE64B"/>
    <w:rsid w:val="206A6DBC"/>
    <w:rsid w:val="208308B0"/>
    <w:rsid w:val="20B363C6"/>
    <w:rsid w:val="210B96D3"/>
    <w:rsid w:val="21727B3B"/>
    <w:rsid w:val="229A0DB8"/>
    <w:rsid w:val="22A63218"/>
    <w:rsid w:val="23B52511"/>
    <w:rsid w:val="23C0424C"/>
    <w:rsid w:val="23DE90BB"/>
    <w:rsid w:val="23EF0571"/>
    <w:rsid w:val="241340B5"/>
    <w:rsid w:val="24C46B05"/>
    <w:rsid w:val="24E8DD33"/>
    <w:rsid w:val="250B95AC"/>
    <w:rsid w:val="2528DFB8"/>
    <w:rsid w:val="25A8DC2B"/>
    <w:rsid w:val="264DED89"/>
    <w:rsid w:val="265A2460"/>
    <w:rsid w:val="26BBBAB7"/>
    <w:rsid w:val="26EC1210"/>
    <w:rsid w:val="27A6C3EA"/>
    <w:rsid w:val="284E42A9"/>
    <w:rsid w:val="28708711"/>
    <w:rsid w:val="28C73401"/>
    <w:rsid w:val="2942DA6E"/>
    <w:rsid w:val="29974415"/>
    <w:rsid w:val="29C87AE9"/>
    <w:rsid w:val="29CB644A"/>
    <w:rsid w:val="2A3341F9"/>
    <w:rsid w:val="2A42F68E"/>
    <w:rsid w:val="2A465583"/>
    <w:rsid w:val="2A779ACB"/>
    <w:rsid w:val="2ABD5253"/>
    <w:rsid w:val="2B132867"/>
    <w:rsid w:val="2B1B8AEF"/>
    <w:rsid w:val="2B27AC27"/>
    <w:rsid w:val="2B60ED49"/>
    <w:rsid w:val="2B644459"/>
    <w:rsid w:val="2B8DFB2C"/>
    <w:rsid w:val="2B94EE40"/>
    <w:rsid w:val="2B99617D"/>
    <w:rsid w:val="2BF73337"/>
    <w:rsid w:val="2C29B703"/>
    <w:rsid w:val="2C344F32"/>
    <w:rsid w:val="2C709172"/>
    <w:rsid w:val="2CB9F71A"/>
    <w:rsid w:val="2CE80FCB"/>
    <w:rsid w:val="2D0D4B24"/>
    <w:rsid w:val="2D903878"/>
    <w:rsid w:val="2DDA8938"/>
    <w:rsid w:val="2EB2BBF2"/>
    <w:rsid w:val="2EB605E9"/>
    <w:rsid w:val="2EFED03E"/>
    <w:rsid w:val="2F43F010"/>
    <w:rsid w:val="30217A79"/>
    <w:rsid w:val="302820CE"/>
    <w:rsid w:val="3098D575"/>
    <w:rsid w:val="30DDBA9C"/>
    <w:rsid w:val="30E0E7D5"/>
    <w:rsid w:val="30F80794"/>
    <w:rsid w:val="311AC335"/>
    <w:rsid w:val="316A937D"/>
    <w:rsid w:val="31887DD2"/>
    <w:rsid w:val="31A54D84"/>
    <w:rsid w:val="31ACA458"/>
    <w:rsid w:val="31BAB3D2"/>
    <w:rsid w:val="31EBDD58"/>
    <w:rsid w:val="32698453"/>
    <w:rsid w:val="326B5F99"/>
    <w:rsid w:val="32A44EB2"/>
    <w:rsid w:val="33074B1E"/>
    <w:rsid w:val="3312D4A0"/>
    <w:rsid w:val="334C0248"/>
    <w:rsid w:val="335B4222"/>
    <w:rsid w:val="337C149E"/>
    <w:rsid w:val="33C41354"/>
    <w:rsid w:val="33DFE351"/>
    <w:rsid w:val="345BE367"/>
    <w:rsid w:val="347A8BAD"/>
    <w:rsid w:val="347AEE02"/>
    <w:rsid w:val="351964F0"/>
    <w:rsid w:val="35E0BB17"/>
    <w:rsid w:val="36068195"/>
    <w:rsid w:val="36162FB8"/>
    <w:rsid w:val="361FC949"/>
    <w:rsid w:val="365C17EB"/>
    <w:rsid w:val="365D58C2"/>
    <w:rsid w:val="36EEE7A8"/>
    <w:rsid w:val="370E11E3"/>
    <w:rsid w:val="37387F15"/>
    <w:rsid w:val="373CF576"/>
    <w:rsid w:val="37983C21"/>
    <w:rsid w:val="37D0B373"/>
    <w:rsid w:val="3844C19D"/>
    <w:rsid w:val="387842A8"/>
    <w:rsid w:val="38B3469D"/>
    <w:rsid w:val="38C16844"/>
    <w:rsid w:val="38EDF14B"/>
    <w:rsid w:val="3928C895"/>
    <w:rsid w:val="396691E4"/>
    <w:rsid w:val="3975524B"/>
    <w:rsid w:val="39B3A9F8"/>
    <w:rsid w:val="39BFBE59"/>
    <w:rsid w:val="3A5F3A61"/>
    <w:rsid w:val="3A82483C"/>
    <w:rsid w:val="3AD3DDE6"/>
    <w:rsid w:val="3B21ECA9"/>
    <w:rsid w:val="3B4DAA0D"/>
    <w:rsid w:val="3BA1D267"/>
    <w:rsid w:val="3BAB9B01"/>
    <w:rsid w:val="3BED8D18"/>
    <w:rsid w:val="3C53968F"/>
    <w:rsid w:val="3C541897"/>
    <w:rsid w:val="3C86B195"/>
    <w:rsid w:val="3CB758D7"/>
    <w:rsid w:val="3CFDB0BB"/>
    <w:rsid w:val="3D0D8740"/>
    <w:rsid w:val="3D1AC6FC"/>
    <w:rsid w:val="3DA7114D"/>
    <w:rsid w:val="3DB3A2AA"/>
    <w:rsid w:val="3DC9AFD8"/>
    <w:rsid w:val="3E14934E"/>
    <w:rsid w:val="3E201E39"/>
    <w:rsid w:val="3E2AC279"/>
    <w:rsid w:val="3E870844"/>
    <w:rsid w:val="3EAD34F2"/>
    <w:rsid w:val="3EE7249F"/>
    <w:rsid w:val="3F001CC0"/>
    <w:rsid w:val="3F0B6208"/>
    <w:rsid w:val="3FBC8336"/>
    <w:rsid w:val="3FCBEF64"/>
    <w:rsid w:val="409D65E7"/>
    <w:rsid w:val="40A36651"/>
    <w:rsid w:val="40CA7F22"/>
    <w:rsid w:val="41059002"/>
    <w:rsid w:val="41167D24"/>
    <w:rsid w:val="41522E25"/>
    <w:rsid w:val="415DE17E"/>
    <w:rsid w:val="415E2FE5"/>
    <w:rsid w:val="41D10388"/>
    <w:rsid w:val="41D1DA70"/>
    <w:rsid w:val="42019F45"/>
    <w:rsid w:val="42178AFC"/>
    <w:rsid w:val="43068FC7"/>
    <w:rsid w:val="43116ECF"/>
    <w:rsid w:val="43525DC7"/>
    <w:rsid w:val="435E6934"/>
    <w:rsid w:val="43AAF409"/>
    <w:rsid w:val="442F5459"/>
    <w:rsid w:val="445759FE"/>
    <w:rsid w:val="4554A606"/>
    <w:rsid w:val="4561C4E9"/>
    <w:rsid w:val="466C1A06"/>
    <w:rsid w:val="4678919E"/>
    <w:rsid w:val="46CD0BA5"/>
    <w:rsid w:val="47AA98FF"/>
    <w:rsid w:val="47C4C649"/>
    <w:rsid w:val="48196F4B"/>
    <w:rsid w:val="48237E9A"/>
    <w:rsid w:val="486A6EBA"/>
    <w:rsid w:val="48907E7A"/>
    <w:rsid w:val="48CB0F12"/>
    <w:rsid w:val="48DC27E2"/>
    <w:rsid w:val="493C274D"/>
    <w:rsid w:val="49709800"/>
    <w:rsid w:val="4999BA14"/>
    <w:rsid w:val="4A2B8BAF"/>
    <w:rsid w:val="4A981455"/>
    <w:rsid w:val="4AC6C74C"/>
    <w:rsid w:val="4ACEB237"/>
    <w:rsid w:val="4AED969B"/>
    <w:rsid w:val="4B8B6BD1"/>
    <w:rsid w:val="4BA2A7F1"/>
    <w:rsid w:val="4C11F95A"/>
    <w:rsid w:val="4C2E6E44"/>
    <w:rsid w:val="4C4C2A52"/>
    <w:rsid w:val="4C6297AD"/>
    <w:rsid w:val="4C916D94"/>
    <w:rsid w:val="4CD39D3B"/>
    <w:rsid w:val="4CE9FF91"/>
    <w:rsid w:val="4D017623"/>
    <w:rsid w:val="4D3A9BF8"/>
    <w:rsid w:val="4D60B91F"/>
    <w:rsid w:val="4DF4E9D1"/>
    <w:rsid w:val="4F581981"/>
    <w:rsid w:val="4F98D62F"/>
    <w:rsid w:val="4FBD9CA3"/>
    <w:rsid w:val="4FE548B3"/>
    <w:rsid w:val="50437631"/>
    <w:rsid w:val="50441BD3"/>
    <w:rsid w:val="50A58AE7"/>
    <w:rsid w:val="50AB0483"/>
    <w:rsid w:val="50B4A97F"/>
    <w:rsid w:val="50E5E219"/>
    <w:rsid w:val="511D50FD"/>
    <w:rsid w:val="51AC8E7C"/>
    <w:rsid w:val="520D1976"/>
    <w:rsid w:val="52522F73"/>
    <w:rsid w:val="528AC5E9"/>
    <w:rsid w:val="52B57882"/>
    <w:rsid w:val="53090AB7"/>
    <w:rsid w:val="5347673B"/>
    <w:rsid w:val="53B9399D"/>
    <w:rsid w:val="54C8BD63"/>
    <w:rsid w:val="55417937"/>
    <w:rsid w:val="5575E834"/>
    <w:rsid w:val="55F43D3F"/>
    <w:rsid w:val="5613117E"/>
    <w:rsid w:val="569E898C"/>
    <w:rsid w:val="57414B04"/>
    <w:rsid w:val="586180C5"/>
    <w:rsid w:val="586868A5"/>
    <w:rsid w:val="58B0879C"/>
    <w:rsid w:val="58F4B27C"/>
    <w:rsid w:val="596A7BCE"/>
    <w:rsid w:val="5970631E"/>
    <w:rsid w:val="59C452B5"/>
    <w:rsid w:val="59E3D231"/>
    <w:rsid w:val="59F6C711"/>
    <w:rsid w:val="5A47FBB5"/>
    <w:rsid w:val="5A4A1323"/>
    <w:rsid w:val="5A602FD8"/>
    <w:rsid w:val="5A7598F0"/>
    <w:rsid w:val="5AE3D379"/>
    <w:rsid w:val="5B351C48"/>
    <w:rsid w:val="5B52EE67"/>
    <w:rsid w:val="5B58E338"/>
    <w:rsid w:val="5C1D46DA"/>
    <w:rsid w:val="5C767CB0"/>
    <w:rsid w:val="5D1DFFB8"/>
    <w:rsid w:val="5D20B82D"/>
    <w:rsid w:val="5D222937"/>
    <w:rsid w:val="5D340A5A"/>
    <w:rsid w:val="5D37BECC"/>
    <w:rsid w:val="5D7DEAED"/>
    <w:rsid w:val="5DE6E493"/>
    <w:rsid w:val="5DFC49A6"/>
    <w:rsid w:val="5E25D02B"/>
    <w:rsid w:val="5E802755"/>
    <w:rsid w:val="5EBB06AA"/>
    <w:rsid w:val="5F0213B0"/>
    <w:rsid w:val="5F968B7F"/>
    <w:rsid w:val="5FC9657C"/>
    <w:rsid w:val="5FE98C91"/>
    <w:rsid w:val="5FF51077"/>
    <w:rsid w:val="603BB7DD"/>
    <w:rsid w:val="6078344B"/>
    <w:rsid w:val="6090D6A1"/>
    <w:rsid w:val="6120D5AB"/>
    <w:rsid w:val="62B95075"/>
    <w:rsid w:val="62CF6EBD"/>
    <w:rsid w:val="62D986CB"/>
    <w:rsid w:val="633FF707"/>
    <w:rsid w:val="63493D72"/>
    <w:rsid w:val="635399B1"/>
    <w:rsid w:val="6354661A"/>
    <w:rsid w:val="63775D03"/>
    <w:rsid w:val="63DAF602"/>
    <w:rsid w:val="6427F74C"/>
    <w:rsid w:val="642AECC3"/>
    <w:rsid w:val="645DF7B9"/>
    <w:rsid w:val="65133BBF"/>
    <w:rsid w:val="65A55D10"/>
    <w:rsid w:val="66064F5D"/>
    <w:rsid w:val="671CB066"/>
    <w:rsid w:val="671DCFCE"/>
    <w:rsid w:val="672429B8"/>
    <w:rsid w:val="679A5A31"/>
    <w:rsid w:val="67DA57C6"/>
    <w:rsid w:val="681EE2C7"/>
    <w:rsid w:val="684D7C9C"/>
    <w:rsid w:val="68F0FFBC"/>
    <w:rsid w:val="69135E00"/>
    <w:rsid w:val="69473FF6"/>
    <w:rsid w:val="697B64E7"/>
    <w:rsid w:val="699AC932"/>
    <w:rsid w:val="6A18EFA6"/>
    <w:rsid w:val="6A5444B4"/>
    <w:rsid w:val="6A664826"/>
    <w:rsid w:val="6A9F281F"/>
    <w:rsid w:val="6AFC3FD5"/>
    <w:rsid w:val="6B00F09D"/>
    <w:rsid w:val="6B066DF5"/>
    <w:rsid w:val="6B232CBB"/>
    <w:rsid w:val="6B5547AD"/>
    <w:rsid w:val="6B701496"/>
    <w:rsid w:val="6B71518D"/>
    <w:rsid w:val="6B8C5DCD"/>
    <w:rsid w:val="6C282DF0"/>
    <w:rsid w:val="6C4C4016"/>
    <w:rsid w:val="6D24AA19"/>
    <w:rsid w:val="6DB2EA36"/>
    <w:rsid w:val="6DEE5137"/>
    <w:rsid w:val="6DF07358"/>
    <w:rsid w:val="6E31C6EC"/>
    <w:rsid w:val="6E91340A"/>
    <w:rsid w:val="6F70287D"/>
    <w:rsid w:val="6F9F47BB"/>
    <w:rsid w:val="704B75B4"/>
    <w:rsid w:val="70657D36"/>
    <w:rsid w:val="70BBEFE5"/>
    <w:rsid w:val="71863CB7"/>
    <w:rsid w:val="718BE95E"/>
    <w:rsid w:val="718C0CFC"/>
    <w:rsid w:val="71B1528F"/>
    <w:rsid w:val="723D87A9"/>
    <w:rsid w:val="726AD467"/>
    <w:rsid w:val="73433DF5"/>
    <w:rsid w:val="73CF3B39"/>
    <w:rsid w:val="74687E51"/>
    <w:rsid w:val="746952EB"/>
    <w:rsid w:val="74DDEA68"/>
    <w:rsid w:val="74F2F5F9"/>
    <w:rsid w:val="752ECB2C"/>
    <w:rsid w:val="755F93CB"/>
    <w:rsid w:val="757C7942"/>
    <w:rsid w:val="7584B9CD"/>
    <w:rsid w:val="759071BF"/>
    <w:rsid w:val="76170944"/>
    <w:rsid w:val="76693F10"/>
    <w:rsid w:val="766FFAEC"/>
    <w:rsid w:val="769C07DC"/>
    <w:rsid w:val="771849A3"/>
    <w:rsid w:val="7782B481"/>
    <w:rsid w:val="778700E5"/>
    <w:rsid w:val="77D8F217"/>
    <w:rsid w:val="77F15197"/>
    <w:rsid w:val="77FDE71C"/>
    <w:rsid w:val="780B19CD"/>
    <w:rsid w:val="7827AE9D"/>
    <w:rsid w:val="785EA211"/>
    <w:rsid w:val="7865B59D"/>
    <w:rsid w:val="78F0E448"/>
    <w:rsid w:val="79150549"/>
    <w:rsid w:val="7928BAB5"/>
    <w:rsid w:val="79511B47"/>
    <w:rsid w:val="79541C81"/>
    <w:rsid w:val="79DA1E26"/>
    <w:rsid w:val="7A191E78"/>
    <w:rsid w:val="7A44B900"/>
    <w:rsid w:val="7A4AB85A"/>
    <w:rsid w:val="7AA11391"/>
    <w:rsid w:val="7AC3E35D"/>
    <w:rsid w:val="7AE8A156"/>
    <w:rsid w:val="7AF42ACD"/>
    <w:rsid w:val="7B7C12EA"/>
    <w:rsid w:val="7B81ED10"/>
    <w:rsid w:val="7B89A076"/>
    <w:rsid w:val="7BAEB999"/>
    <w:rsid w:val="7BC67BB0"/>
    <w:rsid w:val="7C08C9A4"/>
    <w:rsid w:val="7C511686"/>
    <w:rsid w:val="7CF22191"/>
    <w:rsid w:val="7CFB25FA"/>
    <w:rsid w:val="7D2E6C3E"/>
    <w:rsid w:val="7D868777"/>
    <w:rsid w:val="7DBC5AC4"/>
    <w:rsid w:val="7DCE87B0"/>
    <w:rsid w:val="7EA10BD2"/>
    <w:rsid w:val="7EA15BD2"/>
    <w:rsid w:val="7ECDD09B"/>
    <w:rsid w:val="7F3485C5"/>
    <w:rsid w:val="7F414ADC"/>
    <w:rsid w:val="7F7E1B0E"/>
    <w:rsid w:val="7FC23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1B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ind w:left="851"/>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semiHidden/>
    <w:unhideWhenUsed/>
    <w:rsid w:val="0058261B"/>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Revision">
    <w:name w:val="Revision"/>
    <w:hidden/>
    <w:uiPriority w:val="99"/>
    <w:semiHidden/>
    <w:rsid w:val="00B55504"/>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thub.cardiffmet.ac.uk/Form.aspx?id=3545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diffmet.ac.uk/support/registry/academic-handbook/volume-1-regulations-and-procedures/section-9---other-proced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diffmet.ac.uk/media/cardiff-met/content-assets/english-documents/AH1_05_01E.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rdiffmet.ac.uk/media/cardiff-met/content-assets/english-documents/AH1_09_01E.docx" TargetMode="External"/><Relationship Id="rId4" Type="http://schemas.openxmlformats.org/officeDocument/2006/relationships/settings" Target="settings.xml"/><Relationship Id="rId9" Type="http://schemas.openxmlformats.org/officeDocument/2006/relationships/hyperlink" Target="mailto:regulations@cardiffmet.ac.uk" TargetMode="External"/><Relationship Id="rId14" Type="http://schemas.openxmlformats.org/officeDocument/2006/relationships/hyperlink" Target="https://www.cardiffmet.ac.uk/support/registry/academic-handbook/volume-1-regulations-and-procedures/section-7---appeals-and-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3467</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2025-11-10T12:07:00Z</dcterms:created>
  <dcterms:modified xsi:type="dcterms:W3CDTF">2025-11-10T12:07:00Z</dcterms:modified>
</cp:coreProperties>
</file>